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360"/>
      </w:tblGrid>
      <w:tr>
        <w:tc>
          <w:tcPr>
            <w:tcW w:type="dxa" w:w="9360"/>
            <w:shd w:val="clear" w:color="auto" w:fill="0A2540"/>
          </w:tcPr>
          <w:p>
            <w:pPr>
              <w:jc w:val="center"/>
            </w:pPr>
            <w:r>
              <w:rPr>
                <w:rFonts w:ascii="Calibri" w:hAnsi="Calibri"/>
                <w:b/>
                <w:color w:val="FFFFFF"/>
                <w:sz w:val="40"/>
              </w:rPr>
              <w:t>LV Distribution Network — Cable Sizing &amp; Voltage Drop</w:t>
            </w:r>
          </w:p>
        </w:tc>
      </w:tr>
      <w:tr>
        <w:tc>
          <w:tcPr>
            <w:tcW w:type="dxa" w:w="9360"/>
            <w:shd w:val="clear" w:color="auto" w:fill="0D4F6B"/>
          </w:tcPr>
          <w:p>
            <w:pPr>
              <w:jc w:val="center"/>
            </w:pPr>
            <w:r>
              <w:rPr>
                <w:rFonts w:ascii="Calibri" w:hAnsi="Calibri"/>
                <w:b w:val="0"/>
                <w:color w:val="FFFFFF"/>
                <w:sz w:val="24"/>
              </w:rPr>
              <w:t>BS 7671:2018+A2:2022</w:t>
            </w:r>
          </w:p>
        </w:tc>
      </w:tr>
      <w:tr>
        <w:tc>
          <w:tcPr>
            <w:tcW w:type="dxa" w:w="9360"/>
            <w:shd w:val="clear" w:color="auto" w:fill="1A3A5C"/>
          </w:tcPr>
          <w:p>
            <w:pPr>
              <w:jc w:val="center"/>
            </w:pPr>
            <w:r>
              <w:rPr>
                <w:rFonts w:ascii="Calibri" w:hAnsi="Calibri"/>
                <w:b w:val="0"/>
                <w:color w:val="CCF0FA"/>
                <w:sz w:val="20"/>
              </w:rPr>
              <w:t>Worst 3.55% at db-l10-ac — COMPLIANT</w:t>
            </w:r>
          </w:p>
        </w:tc>
      </w:tr>
    </w:tbl>
    <w:p/>
    <w:tbl>
      <w:tblPr>
        <w:tblStyle w:val="TableGrid"/>
        <w:tblW w:type="auto" w:w="0"/>
        <w:tblLook w:firstColumn="1" w:firstRow="1" w:lastColumn="0" w:lastRow="0" w:noHBand="0" w:noVBand="1" w:val="04A0"/>
      </w:tblPr>
      <w:tblGrid>
        <w:gridCol w:w="4680"/>
        <w:gridCol w:w="4680"/>
      </w:tblGrid>
      <w:tr>
        <w:tc>
          <w:tcPr>
            <w:tcW w:type="dxa" w:w="9360"/>
            <w:gridSpan w:val="2"/>
            <w:shd w:val="clear" w:color="auto" w:fill="0A2540"/>
          </w:tcPr>
          <w:p>
            <w:pPr>
              <w:jc w:val="center"/>
            </w:pPr>
            <w:r>
              <w:rPr>
                <w:rFonts w:ascii="Calibri" w:hAnsi="Calibri"/>
                <w:b/>
                <w:i w:val="0"/>
                <w:color w:val="FFFFFF"/>
                <w:sz w:val="20"/>
              </w:rPr>
              <w:t>Project Information</w:t>
            </w:r>
          </w:p>
        </w:tc>
      </w:tr>
      <w:tr>
        <w:tc>
          <w:tcPr>
            <w:tcW w:type="dxa" w:w="4680"/>
            <w:shd w:val="clear" w:color="auto" w:fill="EFF9FC"/>
          </w:tcPr>
          <w:p>
            <w:pPr>
              <w:jc w:val="left"/>
            </w:pPr>
            <w:r>
              <w:rPr>
                <w:rFonts w:ascii="Calibri" w:hAnsi="Calibri"/>
                <w:b/>
                <w:i w:val="0"/>
                <w:sz w:val="18"/>
              </w:rPr>
              <w:t>Project Name</w:t>
            </w:r>
          </w:p>
        </w:tc>
        <w:tc>
          <w:tcPr>
            <w:tcW w:type="dxa" w:w="4680"/>
            <w:shd w:val="clear" w:color="auto" w:fill="EFF9FC"/>
          </w:tcPr>
          <w:p>
            <w:pPr>
              <w:jc w:val="left"/>
            </w:pPr>
            <w:r>
              <w:rPr>
                <w:rFonts w:ascii="Calibri" w:hAnsi="Calibri"/>
                <w:b w:val="0"/>
                <w:i w:val="0"/>
                <w:color w:val="0B3D91"/>
                <w:sz w:val="18"/>
              </w:rPr>
              <w:t>Marina Commercial Tower</w:t>
            </w:r>
          </w:p>
        </w:tc>
      </w:tr>
      <w:tr>
        <w:tc>
          <w:tcPr>
            <w:tcW w:type="dxa" w:w="4680"/>
            <w:shd w:val="clear" w:color="auto" w:fill="FFFFFF"/>
          </w:tcPr>
          <w:p>
            <w:pPr>
              <w:jc w:val="left"/>
            </w:pPr>
            <w:r>
              <w:rPr>
                <w:rFonts w:ascii="Calibri" w:hAnsi="Calibri"/>
                <w:b/>
                <w:i w:val="0"/>
                <w:sz w:val="18"/>
              </w:rPr>
              <w:t>Project No.</w:t>
            </w:r>
          </w:p>
        </w:tc>
        <w:tc>
          <w:tcPr>
            <w:tcW w:type="dxa" w:w="4680"/>
            <w:shd w:val="clear" w:color="auto" w:fill="FFFFFF"/>
          </w:tcPr>
          <w:p>
            <w:pPr>
              <w:jc w:val="left"/>
            </w:pPr>
            <w:r>
              <w:rPr>
                <w:rFonts w:ascii="Calibri" w:hAnsi="Calibri"/>
                <w:b w:val="0"/>
                <w:i w:val="0"/>
                <w:color w:val="0B3D91"/>
                <w:sz w:val="18"/>
              </w:rPr>
              <w:t>MCT-2026-MEP-001</w:t>
            </w:r>
          </w:p>
        </w:tc>
      </w:tr>
      <w:tr>
        <w:tc>
          <w:tcPr>
            <w:tcW w:type="dxa" w:w="4680"/>
            <w:shd w:val="clear" w:color="auto" w:fill="EFF9FC"/>
          </w:tcPr>
          <w:p>
            <w:pPr>
              <w:jc w:val="left"/>
            </w:pPr>
            <w:r>
              <w:rPr>
                <w:rFonts w:ascii="Calibri" w:hAnsi="Calibri"/>
                <w:b/>
                <w:i w:val="0"/>
                <w:sz w:val="18"/>
              </w:rPr>
              <w:t>Revision</w:t>
            </w:r>
          </w:p>
        </w:tc>
        <w:tc>
          <w:tcPr>
            <w:tcW w:type="dxa" w:w="4680"/>
            <w:shd w:val="clear" w:color="auto" w:fill="EFF9FC"/>
          </w:tcPr>
          <w:p>
            <w:pPr>
              <w:jc w:val="left"/>
            </w:pPr>
            <w:r>
              <w:rPr>
                <w:rFonts w:ascii="Calibri" w:hAnsi="Calibri"/>
                <w:b w:val="0"/>
                <w:i w:val="0"/>
                <w:color w:val="0B3D91"/>
                <w:sz w:val="18"/>
              </w:rPr>
              <w:t>P2</w:t>
            </w:r>
          </w:p>
        </w:tc>
      </w:tr>
      <w:tr>
        <w:tc>
          <w:tcPr>
            <w:tcW w:type="dxa" w:w="4680"/>
            <w:shd w:val="clear" w:color="auto" w:fill="FFFFFF"/>
          </w:tcPr>
          <w:p>
            <w:pPr>
              <w:jc w:val="left"/>
            </w:pPr>
            <w:r>
              <w:rPr>
                <w:rFonts w:ascii="Calibri" w:hAnsi="Calibri"/>
                <w:b/>
                <w:i w:val="0"/>
                <w:sz w:val="18"/>
              </w:rPr>
              <w:t>Client</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Prepared by</w:t>
            </w:r>
          </w:p>
        </w:tc>
        <w:tc>
          <w:tcPr>
            <w:tcW w:type="dxa" w:w="4680"/>
            <w:shd w:val="clear" w:color="auto" w:fill="EFF9FC"/>
          </w:tcPr>
          <w:p>
            <w:pPr>
              <w:jc w:val="left"/>
            </w:pPr>
            <w:r>
              <w:rPr>
                <w:rFonts w:ascii="Calibri" w:hAnsi="Calibri"/>
                <w:b w:val="0"/>
                <w:i w:val="0"/>
                <w:color w:val="0B3D91"/>
                <w:sz w:val="18"/>
              </w:rPr>
              <w:t>Hussein Ragab</w:t>
            </w:r>
          </w:p>
        </w:tc>
      </w:tr>
      <w:tr>
        <w:tc>
          <w:tcPr>
            <w:tcW w:type="dxa" w:w="4680"/>
            <w:shd w:val="clear" w:color="auto" w:fill="FFFFFF"/>
          </w:tcPr>
          <w:p>
            <w:pPr>
              <w:jc w:val="left"/>
            </w:pPr>
            <w:r>
              <w:rPr>
                <w:rFonts w:ascii="Calibri" w:hAnsi="Calibri"/>
                <w:b/>
                <w:i w:val="0"/>
                <w:sz w:val="18"/>
              </w:rPr>
              <w:t>Checked by</w:t>
            </w:r>
          </w:p>
        </w:tc>
        <w:tc>
          <w:tcPr>
            <w:tcW w:type="dxa" w:w="4680"/>
            <w:shd w:val="clear" w:color="auto" w:fill="FFFFFF"/>
          </w:tcPr>
          <w:p>
            <w:pPr>
              <w:jc w:val="left"/>
            </w:pPr>
            <w:r>
              <w:rPr>
                <w:rFonts w:ascii="Calibri" w:hAnsi="Calibri"/>
                <w:b w:val="0"/>
                <w:i w:val="0"/>
                <w:color w:val="6B7280"/>
                <w:sz w:val="18"/>
              </w:rPr>
              <w:t>—</w:t>
            </w:r>
          </w:p>
        </w:tc>
      </w:tr>
      <w:tr>
        <w:tc>
          <w:tcPr>
            <w:tcW w:type="dxa" w:w="4680"/>
            <w:shd w:val="clear" w:color="auto" w:fill="EFF9FC"/>
          </w:tcPr>
          <w:p>
            <w:pPr>
              <w:jc w:val="left"/>
            </w:pPr>
            <w:r>
              <w:rPr>
                <w:rFonts w:ascii="Calibri" w:hAnsi="Calibri"/>
                <w:b/>
                <w:i w:val="0"/>
                <w:sz w:val="18"/>
              </w:rPr>
              <w:t>Date</w:t>
            </w:r>
          </w:p>
        </w:tc>
        <w:tc>
          <w:tcPr>
            <w:tcW w:type="dxa" w:w="4680"/>
            <w:shd w:val="clear" w:color="auto" w:fill="EFF9FC"/>
          </w:tcPr>
          <w:p>
            <w:pPr>
              <w:jc w:val="left"/>
            </w:pPr>
            <w:r>
              <w:rPr>
                <w:rFonts w:ascii="Calibri" w:hAnsi="Calibri"/>
                <w:b w:val="0"/>
                <w:i w:val="0"/>
                <w:color w:val="0B3D91"/>
                <w:sz w:val="18"/>
              </w:rPr>
              <w:t>2026-10-20</w:t>
            </w:r>
          </w:p>
        </w:tc>
      </w:tr>
    </w:tbl>
    <w:p/>
    <w:p>
      <w:r>
        <w:rPr>
          <w:rFonts w:ascii="Calibri" w:hAnsi="Calibri"/>
          <w:i/>
          <w:color w:val="374151"/>
          <w:sz w:val="18"/>
        </w:rPr>
        <w:t>Values in this report are displayed in SI (metric) units.  Conductor sizes are the BS 7671 metric series (mm2) and never unit-converted.</w:t>
      </w:r>
    </w:p>
    <w:p>
      <w:pPr>
        <w:pStyle w:val="Heading1"/>
        <w:pBdr>
          <w:bottom w:val="single" w:sz="6" w:space="4" w:color="0A2540"/>
        </w:pBdr>
      </w:pPr>
      <w:r>
        <w:rPr>
          <w:rFonts w:ascii="Calibri" w:hAnsi="Calibri"/>
          <w:b/>
          <w:color w:val="0A2540"/>
          <w:sz w:val="26"/>
        </w:rPr>
        <w:t>1.  Methodology</w:t>
      </w:r>
    </w:p>
    <w:p>
      <w:r>
        <w:t>The network is a radial forest: one or more sources, with every panel fed by exactly one feeder and tracing to exactly one source, so two main boards are independent trees in one network (no tie or bus-coupler is modelled). Cumulative drop is referenced to each panel's OWN source. Loads aggregate leaf to root in apparent power with an engineer-entered diversity factor per panel; the protective device and cable on each feeder are sized from the diversified maximum-demand current Ib by default - an AHJ profile may switch the device and/or cable basis onto the total-connected current, and a panel rule may raise it (the next rating at or above the basis on the ruled ladder: BS EN 60898-1 # 5.3.2 preferred ratings 6 A to 125 A (8 A and 13 A omitted by ruling); 160 A to 1600 A per BS EN 60059 clause 3 standard current ratings (R10 series); BS 7671 applies no continuous-load factor) and the voltage drop is computed at the diversified maximum-demand current. Each cable feeder is sized by the single-circuit BS chain of this tool (Tables 4E4A/4D2A tabulated capacity with the 4B1 and 4C1 rating factors, mV/A/m voltage drop from Tables 4E4B/4D2B, circuit protective conductor by Table 54.7 with the Regulation 543.1.1 minimum for a separate conductor). Busway segments use the manufacturer's nameplate rating and R/X in ohm/km (equal to mohm/m) as entered, with the bar's protection kept within the manufacturer nameplate, each tap given its own tap-off device on its own basis (ruling D117), and the drop walked segment by segment as the current diminishes past each tap. The cumulative drop is carried down the tree as a PERCENTAGE referenced to each board's own nominal voltage and checked against the total limit; per-stage allocations are advisory design targets only.</w:t>
      </w:r>
    </w:p>
    <w:p>
      <w:pPr>
        <w:pStyle w:val="Heading1"/>
        <w:pBdr>
          <w:bottom w:val="single" w:sz="6" w:space="4" w:color="0A2540"/>
        </w:pBdr>
      </w:pPr>
      <w:r>
        <w:rPr>
          <w:rFonts w:ascii="Calibri" w:hAnsi="Calibri"/>
          <w:b/>
          <w:color w:val="0A2540"/>
          <w:sz w:val="26"/>
        </w:rPr>
        <w:t>2.  Inputs</w:t>
      </w:r>
    </w:p>
    <w:tbl>
      <w:tblPr>
        <w:tblStyle w:val="TableGrid"/>
        <w:tblW w:type="auto" w:w="0"/>
        <w:tblLook w:firstColumn="1" w:firstRow="1" w:lastColumn="0" w:lastRow="0" w:noHBand="0" w:noVBand="1" w:val="04A0"/>
      </w:tblPr>
      <w:tblGrid>
        <w:gridCol w:w="4680"/>
        <w:gridCol w:w="4680"/>
      </w:tblGrid>
      <w:tr>
        <w:tc>
          <w:tcPr>
            <w:tcW w:type="dxa" w:w="4680"/>
            <w:shd w:val="clear" w:color="auto" w:fill="0A2540"/>
          </w:tcPr>
          <w:p>
            <w:pPr>
              <w:jc w:val="center"/>
            </w:pPr>
            <w:r>
              <w:rPr>
                <w:rFonts w:ascii="Calibri" w:hAnsi="Calibri"/>
                <w:b/>
                <w:i w:val="0"/>
                <w:color w:val="FFFFFF"/>
                <w:sz w:val="18"/>
              </w:rPr>
              <w:t>Parameter</w:t>
            </w:r>
          </w:p>
        </w:tc>
        <w:tc>
          <w:tcPr>
            <w:tcW w:type="dxa" w:w="4680"/>
            <w:shd w:val="clear" w:color="auto" w:fill="0A2540"/>
          </w:tcPr>
          <w:p>
            <w:pPr>
              <w:jc w:val="center"/>
            </w:pPr>
            <w:r>
              <w:rPr>
                <w:rFonts w:ascii="Calibri" w:hAnsi="Calibri"/>
                <w:b/>
                <w:i w:val="0"/>
                <w:color w:val="FFFFFF"/>
                <w:sz w:val="18"/>
              </w:rPr>
              <w:t>Value</w:t>
            </w:r>
          </w:p>
        </w:tc>
      </w:tr>
      <w:tr>
        <w:tc>
          <w:tcPr>
            <w:tcW w:type="dxa" w:w="4680"/>
            <w:shd w:val="clear" w:color="auto" w:fill="EFF9FC"/>
          </w:tcPr>
          <w:p>
            <w:pPr>
              <w:jc w:val="left"/>
            </w:pPr>
            <w:r>
              <w:rPr>
                <w:rFonts w:ascii="Calibri" w:hAnsi="Calibri"/>
                <w:b w:val="0"/>
                <w:i w:val="0"/>
                <w:sz w:val="18"/>
              </w:rPr>
              <w:t>Source panel</w:t>
            </w:r>
          </w:p>
        </w:tc>
        <w:tc>
          <w:tcPr>
            <w:tcW w:type="dxa" w:w="4680"/>
            <w:shd w:val="clear" w:color="auto" w:fill="EFF9FC"/>
          </w:tcPr>
          <w:p>
            <w:pPr>
              <w:jc w:val="left"/>
            </w:pPr>
            <w:r>
              <w:rPr>
                <w:rFonts w:ascii="Calibri" w:hAnsi="Calibri"/>
                <w:b/>
                <w:i w:val="0"/>
                <w:color w:val="0B3D91"/>
                <w:sz w:val="18"/>
              </w:rPr>
              <w:t>MDB-01</w:t>
            </w:r>
          </w:p>
        </w:tc>
      </w:tr>
      <w:tr>
        <w:tc>
          <w:tcPr>
            <w:tcW w:type="dxa" w:w="4680"/>
            <w:shd w:val="clear" w:color="auto" w:fill="FFFFFF"/>
          </w:tcPr>
          <w:p>
            <w:pPr>
              <w:jc w:val="left"/>
            </w:pPr>
            <w:r>
              <w:rPr>
                <w:rFonts w:ascii="Calibri" w:hAnsi="Calibri"/>
                <w:b w:val="0"/>
                <w:i w:val="0"/>
                <w:sz w:val="18"/>
              </w:rPr>
              <w:t>Panels / feeders</w:t>
            </w:r>
          </w:p>
        </w:tc>
        <w:tc>
          <w:tcPr>
            <w:tcW w:type="dxa" w:w="4680"/>
            <w:shd w:val="clear" w:color="auto" w:fill="FFFFFF"/>
          </w:tcPr>
          <w:p>
            <w:pPr>
              <w:jc w:val="left"/>
            </w:pPr>
            <w:r>
              <w:rPr>
                <w:rFonts w:ascii="Calibri" w:hAnsi="Calibri"/>
                <w:b/>
                <w:i w:val="0"/>
                <w:color w:val="0B3D91"/>
                <w:sz w:val="18"/>
              </w:rPr>
              <w:t>10 / 9</w:t>
            </w:r>
          </w:p>
        </w:tc>
      </w:tr>
      <w:tr>
        <w:tc>
          <w:tcPr>
            <w:tcW w:type="dxa" w:w="4680"/>
            <w:shd w:val="clear" w:color="auto" w:fill="EFF9FC"/>
          </w:tcPr>
          <w:p>
            <w:pPr>
              <w:jc w:val="left"/>
            </w:pPr>
            <w:r>
              <w:rPr>
                <w:rFonts w:ascii="Calibri" w:hAnsi="Calibri"/>
                <w:b w:val="0"/>
                <w:i w:val="0"/>
                <w:sz w:val="18"/>
              </w:rPr>
              <w:t>Power factor</w:t>
            </w:r>
          </w:p>
        </w:tc>
        <w:tc>
          <w:tcPr>
            <w:tcW w:type="dxa" w:w="4680"/>
            <w:shd w:val="clear" w:color="auto" w:fill="EFF9FC"/>
          </w:tcPr>
          <w:p>
            <w:pPr>
              <w:jc w:val="left"/>
            </w:pPr>
            <w:r>
              <w:rPr>
                <w:rFonts w:ascii="Calibri" w:hAnsi="Calibri"/>
                <w:b/>
                <w:i w:val="0"/>
                <w:color w:val="0B3D91"/>
                <w:sz w:val="18"/>
              </w:rPr>
              <w:t>0.90</w:t>
            </w:r>
          </w:p>
        </w:tc>
      </w:tr>
      <w:tr>
        <w:tc>
          <w:tcPr>
            <w:tcW w:type="dxa" w:w="4680"/>
            <w:shd w:val="clear" w:color="auto" w:fill="FFFFFF"/>
          </w:tcPr>
          <w:p>
            <w:pPr>
              <w:jc w:val="left"/>
            </w:pPr>
            <w:r>
              <w:rPr>
                <w:rFonts w:ascii="Calibri" w:hAnsi="Calibri"/>
                <w:b w:val="0"/>
                <w:i w:val="0"/>
                <w:sz w:val="18"/>
              </w:rPr>
              <w:t>Continuous loads</w:t>
            </w:r>
          </w:p>
        </w:tc>
        <w:tc>
          <w:tcPr>
            <w:tcW w:type="dxa" w:w="4680"/>
            <w:shd w:val="clear" w:color="auto" w:fill="FFFFFF"/>
          </w:tcPr>
          <w:p>
            <w:pPr>
              <w:jc w:val="left"/>
            </w:pPr>
            <w:r>
              <w:rPr>
                <w:rFonts w:ascii="Calibri" w:hAnsi="Calibri"/>
                <w:b/>
                <w:i w:val="0"/>
                <w:color w:val="0B3D91"/>
                <w:sz w:val="18"/>
              </w:rPr>
              <w:t>not applicable (BS 7671 — no 1.25 continuous factor)</w:t>
            </w:r>
          </w:p>
        </w:tc>
      </w:tr>
      <w:tr>
        <w:tc>
          <w:tcPr>
            <w:tcW w:type="dxa" w:w="4680"/>
            <w:shd w:val="clear" w:color="auto" w:fill="EFF9FC"/>
          </w:tcPr>
          <w:p>
            <w:pPr>
              <w:jc w:val="left"/>
            </w:pPr>
            <w:r>
              <w:rPr>
                <w:rFonts w:ascii="Calibri" w:hAnsi="Calibri"/>
                <w:b w:val="0"/>
                <w:i w:val="0"/>
                <w:sz w:val="18"/>
              </w:rPr>
              <w:t>Total VD limit</w:t>
            </w:r>
          </w:p>
        </w:tc>
        <w:tc>
          <w:tcPr>
            <w:tcW w:type="dxa" w:w="4680"/>
            <w:shd w:val="clear" w:color="auto" w:fill="EFF9FC"/>
          </w:tcPr>
          <w:p>
            <w:pPr>
              <w:jc w:val="left"/>
            </w:pPr>
            <w:r>
              <w:rPr>
                <w:rFonts w:ascii="Calibri" w:hAnsi="Calibri"/>
                <w:b/>
                <w:i w:val="0"/>
                <w:color w:val="0B3D91"/>
                <w:sz w:val="18"/>
              </w:rPr>
              <w:t>4 % (advisory basis)</w:t>
            </w:r>
          </w:p>
        </w:tc>
      </w:tr>
      <w:tr>
        <w:tc>
          <w:tcPr>
            <w:tcW w:type="dxa" w:w="4680"/>
            <w:shd w:val="clear" w:color="auto" w:fill="FFFFFF"/>
          </w:tcPr>
          <w:p>
            <w:pPr>
              <w:jc w:val="left"/>
            </w:pPr>
            <w:r>
              <w:rPr>
                <w:rFonts w:ascii="Calibri" w:hAnsi="Calibri"/>
                <w:b w:val="0"/>
                <w:i w:val="0"/>
                <w:sz w:val="18"/>
              </w:rPr>
              <w:t>Stage targets</w:t>
            </w:r>
          </w:p>
        </w:tc>
        <w:tc>
          <w:tcPr>
            <w:tcW w:type="dxa" w:w="4680"/>
            <w:shd w:val="clear" w:color="auto" w:fill="FFFFFF"/>
          </w:tcPr>
          <w:p>
            <w:pPr>
              <w:jc w:val="left"/>
            </w:pPr>
            <w:r>
              <w:rPr>
                <w:rFonts w:ascii="Calibri" w:hAnsi="Calibri"/>
                <w:b/>
                <w:i w:val="0"/>
                <w:color w:val="0B3D91"/>
                <w:sz w:val="18"/>
              </w:rPr>
              <w:t>none — total only</w:t>
            </w:r>
          </w:p>
        </w:tc>
      </w:tr>
    </w:tbl>
    <w:p/>
    <w:p>
      <w:pPr>
        <w:pStyle w:val="Heading1"/>
        <w:pBdr>
          <w:bottom w:val="single" w:sz="6" w:space="4" w:color="0A2540"/>
        </w:pBdr>
      </w:pPr>
      <w:r>
        <w:rPr>
          <w:rFonts w:ascii="Calibri" w:hAnsi="Calibri"/>
          <w:b/>
          <w:color w:val="0A2540"/>
          <w:sz w:val="26"/>
        </w:rPr>
        <w:t>3.  Assumptions</w:t>
      </w:r>
    </w:p>
    <w:p>
      <w:pPr>
        <w:pStyle w:val="ListBullet"/>
      </w:pPr>
      <w:r>
        <w:rPr>
          <w:rFonts w:ascii="Calibri" w:hAnsi="Calibri"/>
          <w:color w:val="374151"/>
          <w:sz w:val="18"/>
        </w:rPr>
        <w:t>mV/A/m voltage-drop values are the BS 7671 Appendix 4 printed values (Tables 4E4B/4D2B) at the conductor maximum operating temperature.</w:t>
      </w:r>
    </w:p>
    <w:p>
      <w:pPr>
        <w:pStyle w:val="ListBullet"/>
      </w:pPr>
      <w:r>
        <w:rPr>
          <w:rFonts w:ascii="Calibri" w:hAnsi="Calibri"/>
          <w:color w:val="374151"/>
          <w:sz w:val="18"/>
        </w:rPr>
        <w:t>Voltage-drop limits (3% lighting / 5% other) are the deemed-to-satisfy values of Regulation 525.202 via Appendix 4 section 6.4, Table 4Ab (installations supplied directly from a public LV distribution system; the private-supply row 6% / 8% is not offered) — a project specification may govern.</w:t>
      </w:r>
    </w:p>
    <w:p>
      <w:pPr>
        <w:pStyle w:val="ListBullet"/>
      </w:pPr>
      <w:r>
        <w:rPr>
          <w:rFonts w:ascii="Calibri" w:hAnsi="Calibri"/>
          <w:color w:val="374151"/>
          <w:sz w:val="18"/>
        </w:rPr>
        <w:t>Table 4Ab (printed p.430) permits its limits to be increased by 0.005% per metre of wiring beyond 100 m, at most by 0.5%; the tool keeps the target as set and warns, naming the permitted figure, when a run or path longer than 100 m is judged against a printed Table 4Ab value (ruling D121).</w:t>
      </w:r>
    </w:p>
    <w:p>
      <w:pPr>
        <w:pStyle w:val="ListBullet"/>
      </w:pPr>
      <w:r>
        <w:rPr>
          <w:rFonts w:ascii="Calibri" w:hAnsi="Calibri"/>
          <w:color w:val="374151"/>
          <w:sz w:val="18"/>
        </w:rPr>
        <w:t>Parallel runs are assumed to share the current equally; the tabulated capacity and voltage drop are taken per run, and the runs are counted into the Table 4C1 group as touching cables (Table 4C1 NOTE 2 spacing is not modelled; ruling D118).</w:t>
      </w:r>
    </w:p>
    <w:p>
      <w:pPr>
        <w:pStyle w:val="ListBullet"/>
      </w:pPr>
      <w:r>
        <w:rPr>
          <w:rFonts w:ascii="Calibri" w:hAnsi="Calibri"/>
          <w:color w:val="374151"/>
          <w:sz w:val="18"/>
        </w:rPr>
        <w:t>Neutral conductors, where reported, are sized equal to the phase conductors; the circuit protective conductor follows the Table 54.7 selection rule in the same material and, as a separate G/Y single ASSUMED mechanically protected (in conduit or trunking), is never below 2.5 mm2 (Regulation 543.1.1, printed p.199; 4 mm2 applies where it is not protected; ruling D115).</w:t>
      </w:r>
    </w:p>
    <w:p>
      <w:pPr>
        <w:pStyle w:val="ListBullet"/>
      </w:pPr>
      <w:r>
        <w:rPr>
          <w:rFonts w:ascii="Calibri" w:hAnsi="Calibri"/>
          <w:color w:val="374151"/>
          <w:sz w:val="18"/>
        </w:rPr>
        <w:t>Rating factors applied: Ca (Table 4B1, air), Cg (Table 4C1) and — where a run is DECLARED totally surrounded by thermal insulation — Ci per Regulation 523.9 and Appendix 4 item 2.6 (0.5 x the Method C rating at 0.5 m or more). A route in insulation that is not declared is not derated: declaring it is the designer's input.</w:t>
      </w:r>
    </w:p>
    <w:p>
      <w:pPr>
        <w:pStyle w:val="ListBullet"/>
      </w:pPr>
      <w:r>
        <w:rPr>
          <w:rFonts w:ascii="Calibri" w:hAnsi="Calibri"/>
          <w:color w:val="374151"/>
          <w:sz w:val="18"/>
        </w:rPr>
        <w:t>Automatic disconnection (fault protection) is NOT verified: the earth fault loop impedance Zs x Ia &lt;= U0 x Cmin of Regulation 411.4.4 (printed p.66) and the disconnection time of Regulation 411.3.2.2 need the external loop impedance Ze and the device's maximum Zs, which this tool does not hold - verify them separately (ruling C057).</w:t>
      </w:r>
    </w:p>
    <w:p>
      <w:pPr>
        <w:pStyle w:val="ListBullet"/>
      </w:pPr>
      <w:r>
        <w:rPr>
          <w:rFonts w:ascii="Calibri" w:hAnsi="Calibri"/>
          <w:color w:val="374151"/>
          <w:sz w:val="18"/>
        </w:rPr>
        <w:t>Fault levels are computed ONLY where a source declares its prospective fault level (simple-method reactive source; 3-phase symmetrical estimate with U = V_LN on 3-phase boards; a single-phase source or board takes U = its own nominal). Two currents are reported per board (ruling 37-3): Ipf,max with the conductor resistance at 20 degC (IET On-Site Guide Appendix I Table I1; Table I3 multipliers above its printed range) - the basis for device breaking capacity, bus withstand and the adiabatic check - and Ipf,min at maximum operating temperature (the Appendix 4 mV/A/m tables) - the disconnection-time basis, printed for reference; earth-fault loop impedance is not verified. Busway R/X are catalogue values at Ith in both.</w:t>
      </w:r>
    </w:p>
    <w:p>
      <w:pPr>
        <w:pStyle w:val="ListBullet"/>
      </w:pPr>
      <w:r>
        <w:rPr>
          <w:rFonts w:ascii="Calibri" w:hAnsi="Calibri"/>
          <w:color w:val="374151"/>
          <w:sz w:val="18"/>
        </w:rPr>
        <w:t>The adiabatic CPC check (Reg 543.1.3) uses Ipf,max at the fed board, the entered duration and k by the CPC's OWN insulation as entered in Network settings (ruling 37-4): a separate conductor bunched with the cable takes Table 54.3 - 70 degC thermoplastic k 115 / 103 above 300 mm2 (the default), 90 degC thermosetting k 143; a separate conductor NOT bunched takes Table 54.2 - 70 degC thermoplastic k 143 / 133 above 300 mm2, 90 degC thermosetting k 176 (printed p.200); an integral core of the cable takes the cable's own insulation (Table 54.3). Where the check upsizes the CPC, k is re-read at the new size (the thermoplastic k drops above 300 mm2), and a CPC no standard size can cover FAILS. A separate CPC is a G/Y single ASSUMED mechanically protected (in conduit or trunking) and is never below 2.5 mm2 (Reg 543.1.1, printed p.199; 4 mm2 if not protected; ruling D115). Steel-wire armour as CPC (ruling 37-6) takes k = 46 from Table 54.4 (90 C thermosetting steel, printed p.200) and the armour CSA from BS 5467:1997+A3:2008 Table N.2 (printed p.29). Armour cannot be upsized; if N.2 is short of S_min the feeder FAILS. PVC (Table 4D2A) is non-armoured and refuses that option.</w:t>
      </w:r>
    </w:p>
    <w:p>
      <w:pPr>
        <w:pStyle w:val="ListBullet"/>
      </w:pPr>
      <w:r>
        <w:rPr>
          <w:rFonts w:ascii="Calibri" w:hAnsi="Calibri"/>
          <w:color w:val="374151"/>
          <w:sz w:val="18"/>
        </w:rPr>
        <w:t>Busway nameplate ratings and impedances are manufacturer data as entered — cite the datasheet in the submission.</w:t>
      </w:r>
    </w:p>
    <w:p>
      <w:pPr>
        <w:pStyle w:val="ListBullet"/>
      </w:pPr>
      <w:r>
        <w:rPr>
          <w:rFonts w:ascii="Calibri" w:hAnsi="Calibri"/>
          <w:color w:val="374151"/>
          <w:sz w:val="18"/>
        </w:rPr>
        <w:t>Voltage-drop limits are the deemed-to-satisfy values (3% lighting / 5% other, Regulation 525.202 via Appendix 4 section 6.4 Table 4Ab, public LV supply row) unless a project specification or authority imposes its own.</w:t>
      </w:r>
    </w:p>
    <w:p>
      <w:pPr>
        <w:pStyle w:val="Heading1"/>
        <w:pBdr>
          <w:bottom w:val="single" w:sz="6" w:space="4" w:color="0A2540"/>
        </w:pBdr>
      </w:pPr>
      <w:r>
        <w:rPr>
          <w:rFonts w:ascii="Calibri" w:hAnsi="Calibri"/>
          <w:b/>
          <w:color w:val="0A2540"/>
          <w:sz w:val="26"/>
        </w:rPr>
        <w:t>4.  Step-by-Step Calculation</w:t>
      </w:r>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  Load aggregation — DB-POD-RT1</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33.33 kVA; demand = 33.33 kVA (div 1.0)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33.333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2:  Load aggregation — DB-POD-KIT</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50.00 kVA; demand = 50.00 kVA (div 1.0)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50.0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3:  Load aggregation — SMDB-POD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83.33 kVA; demand = 66.67 kVA (div 0.8)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66.667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4:  Load aggregation — DB-L10-LP</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31.11 kVA; demand = 31.11 kVA (div 1.0)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31.111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5:  Load aggregation — DB-L10-AC</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17.78 kVA; demand = 17.78 kVA (div 1.0)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17.778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6:  Load aggregation — SMDB-L10</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48.89 kVA; demand = 39.11 kVA (div 0.8)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39.111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7:  Load aggregation — DB-RF-AHU</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61.11 kVA; demand = 61.11 kVA (div 1.0)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61.111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8:  Load aggregation — DB-RF-PMP</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24.44 kVA; demand = 24.44 kVA (div 1.0)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24.444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9:  Load aggregation — SMDB-RF</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85.56 kVA; demand = 72.72 kVA (div 0.85)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72.722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10:  Load aggregation — MDB-01</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TCL = own + sum(children); demand = (own + sum children demand) x div</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TCL = 217.78 kVA; demand = 160.65 kVA (div 0.9)   [NETWORK_MODE_PLAN.md #3.2 (per-panel diversity, ruling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160.65 kVA</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11:  Feeder sizing — MDB-01 -&gt; SMDB-POD</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66.7 kVA -&gt; 1 x 35, OCPD 100 A; TCL 83.3 kVA; VD current 96.2 A (demand 66.7 kVA) -&gt; VD 1.053 %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1.053 %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12:  Feeder sizing — SMDB-POD -&gt; DB-POD-RT1</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33.3 kVA -&gt; 1 x 10, OCPD 50 A; TCL 33.3 kVA; VD current 48.1 A (demand 33.3 kVA) -&gt; VD 1.684 %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1.684 %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13:  Feeder sizing — SMDB-POD -&gt; DB-POD-KIT</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50.0 kVA -&gt; 1 x 25, OCPD 80 A; TCL 50.0 kVA; VD current 72.2 A (demand 50.0 kVA) -&gt; VD 0.677 %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0.677 %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14:  Feeder sizing — MDB-01 -&gt; SMDB-L10</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39.1 kVA -&gt; 1 x 16, OCPD 63 A; TCL 48.9 kVA; VD current 56.5 A (demand 39.1 kVA) -&gt; VD 1.941 %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1.941 %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15:  Feeder sizing — SMDB-L10 -&gt; DB-L10-LP</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31.1 kVA -&gt; 1 x 10, OCPD 50 A; TCL 31.1 kVA; VD current 44.9 A (demand 31.1 kVA) -&gt; VD 0.898 %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0.898 %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16:  Feeder sizing — SMDB-L10 -&gt; DB-L10-AC</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17.8 kVA -&gt; 1 x 4, OCPD 32 A; TCL 17.8 kVA; VD current 25.7 A (demand 17.8 kVA) -&gt; VD 1.604 %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1.604 %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17:  Feeder sizing — MDB-01 -&gt; SMDB-RF</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72.7 kVA -&gt; 1 x 50, OCPD 125 A; TCL 85.6 kVA; VD current 105.0 A (demand 72.7 kVA) -&gt; VD 2.076 %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2.076 %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18:  Feeder sizing — SMDB-RF -&gt; DB-RF-AHU</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61.1 kVA -&gt; 1 x 35, OCPD 100 A; TCL 61.1 kVA; VD current 88.2 A (demand 61.1 kVA) -&gt; VD 0.482 %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0.482 %</w:t>
            </w:r>
          </w:p>
        </w:tc>
      </w:tr>
    </w:tbl>
    <w:p/>
    <w:tbl>
      <w:tblPr>
        <w:tblStyle w:val="TableGrid"/>
        <w:tblW w:type="auto" w:w="0"/>
        <w:tblLook w:firstColumn="1" w:firstRow="1" w:lastColumn="0" w:lastRow="0" w:noHBand="0" w:noVBand="1" w:val="04A0"/>
      </w:tblPr>
      <w:tblGrid>
        <w:gridCol w:w="9360"/>
      </w:tblGrid>
      <w:tr>
        <w:tc>
          <w:tcPr>
            <w:tcW w:type="dxa" w:w="9360"/>
            <w:shd w:val="clear" w:color="auto" w:fill="0A2540"/>
            <w:tcMar>
              <w:top w:w="80" w:type="dxa"/>
              <w:bottom w:w="80" w:type="dxa"/>
              <w:left w:w="80" w:type="dxa"/>
              <w:right w:w="80" w:type="dxa"/>
            </w:tcMar>
          </w:tcPr>
          <w:p>
            <w:r>
              <w:rPr>
                <w:rFonts w:ascii="Calibri" w:hAnsi="Calibri"/>
                <w:b/>
                <w:i w:val="0"/>
                <w:color w:val="FFFFFF"/>
                <w:sz w:val="20"/>
              </w:rPr>
              <w:t xml:space="preserve">  Step 19:  Feeder sizing — SMDB-RF -&gt; DB-RF-PMP</w:t>
            </w:r>
          </w:p>
        </w:tc>
      </w:tr>
      <w:tr>
        <w:tc>
          <w:tcPr>
            <w:tcW w:type="dxa" w:w="9360"/>
            <w:shd w:val="clear" w:color="auto" w:fill="CCF0FA"/>
            <w:tcMar>
              <w:top w:w="80" w:type="dxa"/>
              <w:bottom w:w="80" w:type="dxa"/>
              <w:left w:w="80" w:type="dxa"/>
              <w:right w:w="80" w:type="dxa"/>
            </w:tcMar>
          </w:tcPr>
          <w:p>
            <w:r>
              <w:rPr>
                <w:rFonts w:ascii="Calibri" w:hAnsi="Calibri"/>
                <w:b w:val="0"/>
                <w:i/>
                <w:color w:val="0B3D91"/>
                <w:sz w:val="18"/>
              </w:rPr>
              <w:t xml:space="preserve">  Formula:        base engine on the demand basis (breaker basis demand, cable basis demand); VD at the demand current</w:t>
            </w:r>
          </w:p>
        </w:tc>
      </w:tr>
      <w:tr>
        <w:tc>
          <w:tcPr>
            <w:tcW w:type="dxa" w:w="9360"/>
            <w:shd w:val="clear" w:color="auto" w:fill="FFFFFF"/>
            <w:tcMar>
              <w:top w:w="80" w:type="dxa"/>
              <w:bottom w:w="80" w:type="dxa"/>
              <w:left w:w="80" w:type="dxa"/>
              <w:right w:w="80" w:type="dxa"/>
            </w:tcMar>
          </w:tcPr>
          <w:p>
            <w:r>
              <w:rPr>
                <w:rFonts w:ascii="Calibri" w:hAnsi="Calibri"/>
                <w:b w:val="0"/>
                <w:i w:val="0"/>
                <w:color w:val="374151"/>
                <w:sz w:val="18"/>
              </w:rPr>
              <w:t xml:space="preserve">  Substitution:  demand 24.4 kVA -&gt; 1 x 6, OCPD 40 A; TCL 24.4 kVA; VD current 35.3 A (demand 24.4 kVA) -&gt; VD 0.900 %   [size_circuit (BS 7671 Appendix 4) + Tables 4E4B/4D2B mV/A/m; TCL/demand split per plan #2]</w:t>
            </w:r>
          </w:p>
        </w:tc>
      </w:tr>
      <w:tr>
        <w:tc>
          <w:tcPr>
            <w:tcW w:type="dxa" w:w="9360"/>
            <w:shd w:val="clear" w:color="auto" w:fill="E8F8FD"/>
            <w:tcMar>
              <w:top w:w="80" w:type="dxa"/>
              <w:bottom w:w="80" w:type="dxa"/>
              <w:left w:w="80" w:type="dxa"/>
              <w:right w:w="80" w:type="dxa"/>
            </w:tcMar>
          </w:tcPr>
          <w:p>
            <w:r>
              <w:rPr>
                <w:rFonts w:ascii="Calibri" w:hAnsi="Calibri"/>
                <w:b/>
                <w:i w:val="0"/>
                <w:color w:val="0A2540"/>
                <w:sz w:val="20"/>
              </w:rPr>
              <w:t xml:space="preserve">  Result:          0.9 %</w:t>
            </w:r>
          </w:p>
        </w:tc>
      </w:tr>
    </w:tbl>
    <w:p/>
    <w:p>
      <w:pPr>
        <w:pStyle w:val="Heading1"/>
        <w:pBdr>
          <w:bottom w:val="single" w:sz="6" w:space="4" w:color="0A2540"/>
        </w:pBdr>
      </w:pPr>
      <w:r>
        <w:rPr>
          <w:rFonts w:ascii="Calibri" w:hAnsi="Calibri"/>
          <w:b/>
          <w:color w:val="0A2540"/>
          <w:sz w:val="26"/>
        </w:rPr>
        <w:t>5.  Results</w:t>
      </w:r>
    </w:p>
    <w:p>
      <w:r>
        <w:t>Feeder schedule — one row per feeder (runs x cores x size designation; ECC one per run; the VD figure column shows the value the calculation used; * = engineer override, see the per-feeder blocks).</w:t>
      </w:r>
    </w:p>
    <w:p>
      <w:pPr>
        <w:sectPr>
          <w:footerReference w:type="default" r:id="rId9"/>
          <w:pgSz w:w="12240" w:h="15840"/>
          <w:pgMar w:top="1440" w:right="1440" w:bottom="1440" w:left="1440" w:header="720" w:footer="720" w:gutter="0"/>
          <w:cols w:space="720"/>
          <w:docGrid w:linePitch="360"/>
        </w:sectPr>
      </w:pPr>
    </w:p>
    <w:tbl>
      <w:tblPr>
        <w:tblStyle w:val="TableGrid"/>
        <w:tblW w:type="auto" w:w="0"/>
        <w:tblLayout w:type="fixed"/>
        <w:tblLook w:firstColumn="1" w:firstRow="1" w:lastColumn="0" w:lastRow="0" w:noHBand="0" w:noVBand="1" w:val="04A0"/>
      </w:tblPr>
      <w:tblGrid>
        <w:gridCol w:w="1057"/>
        <w:gridCol w:w="1057"/>
        <w:gridCol w:w="624"/>
        <w:gridCol w:w="732"/>
        <w:gridCol w:w="624"/>
        <w:gridCol w:w="651"/>
        <w:gridCol w:w="1139"/>
        <w:gridCol w:w="488"/>
        <w:gridCol w:w="841"/>
        <w:gridCol w:w="1193"/>
        <w:gridCol w:w="759"/>
        <w:gridCol w:w="624"/>
        <w:gridCol w:w="624"/>
        <w:gridCol w:w="624"/>
        <w:gridCol w:w="624"/>
        <w:gridCol w:w="624"/>
        <w:gridCol w:w="678"/>
      </w:tblGrid>
      <w:tr>
        <w:tc>
          <w:tcPr>
            <w:tcW w:type="dxa" w:w="1057"/>
            <w:shd w:val="clear" w:color="auto" w:fill="0A2540"/>
          </w:tcPr>
          <w:p>
            <w:pPr>
              <w:spacing w:after="0"/>
              <w:jc w:val="center"/>
            </w:pPr>
            <w:r>
              <w:rPr>
                <w:rFonts w:ascii="Calibri" w:hAnsi="Calibri"/>
                <w:b/>
                <w:i w:val="0"/>
                <w:color w:val="FFFFFF"/>
                <w:sz w:val="14"/>
              </w:rPr>
              <w:t>Fed From</w:t>
            </w:r>
          </w:p>
        </w:tc>
        <w:tc>
          <w:tcPr>
            <w:tcW w:type="dxa" w:w="1057"/>
            <w:shd w:val="clear" w:color="auto" w:fill="0A2540"/>
          </w:tcPr>
          <w:p>
            <w:pPr>
              <w:spacing w:after="0"/>
              <w:jc w:val="center"/>
            </w:pPr>
            <w:r>
              <w:rPr>
                <w:rFonts w:ascii="Calibri" w:hAnsi="Calibri"/>
                <w:b/>
                <w:i w:val="0"/>
                <w:color w:val="FFFFFF"/>
                <w:sz w:val="14"/>
              </w:rPr>
              <w:t>Fed To</w:t>
            </w:r>
          </w:p>
        </w:tc>
        <w:tc>
          <w:tcPr>
            <w:tcW w:type="dxa" w:w="624"/>
            <w:shd w:val="clear" w:color="auto" w:fill="0A2540"/>
          </w:tcPr>
          <w:p>
            <w:pPr>
              <w:spacing w:after="0"/>
              <w:jc w:val="center"/>
            </w:pPr>
            <w:r>
              <w:rPr>
                <w:rFonts w:ascii="Calibri" w:hAnsi="Calibri"/>
                <w:b/>
                <w:i w:val="0"/>
                <w:color w:val="FFFFFF"/>
                <w:sz w:val="14"/>
              </w:rPr>
              <w:t>TCL (kW)</w:t>
            </w:r>
          </w:p>
        </w:tc>
        <w:tc>
          <w:tcPr>
            <w:tcW w:type="dxa" w:w="732"/>
            <w:shd w:val="clear" w:color="auto" w:fill="0A2540"/>
          </w:tcPr>
          <w:p>
            <w:pPr>
              <w:spacing w:after="0"/>
              <w:jc w:val="center"/>
            </w:pPr>
            <w:r>
              <w:rPr>
                <w:rFonts w:ascii="Calibri" w:hAnsi="Calibri"/>
                <w:b/>
                <w:i w:val="0"/>
                <w:color w:val="FFFFFF"/>
                <w:sz w:val="14"/>
              </w:rPr>
              <w:t>Load Current (A)</w:t>
            </w:r>
          </w:p>
        </w:tc>
        <w:tc>
          <w:tcPr>
            <w:tcW w:type="dxa" w:w="624"/>
            <w:shd w:val="clear" w:color="auto" w:fill="0A2540"/>
          </w:tcPr>
          <w:p>
            <w:pPr>
              <w:spacing w:after="0"/>
              <w:jc w:val="center"/>
            </w:pPr>
            <w:r>
              <w:rPr>
                <w:rFonts w:ascii="Calibri" w:hAnsi="Calibri"/>
                <w:b/>
                <w:i w:val="0"/>
                <w:color w:val="FFFFFF"/>
                <w:sz w:val="14"/>
              </w:rPr>
              <w:t>Breaker (A)</w:t>
            </w:r>
          </w:p>
        </w:tc>
        <w:tc>
          <w:tcPr>
            <w:tcW w:type="dxa" w:w="651"/>
            <w:shd w:val="clear" w:color="auto" w:fill="0A2540"/>
          </w:tcPr>
          <w:p>
            <w:pPr>
              <w:spacing w:after="0"/>
              <w:jc w:val="center"/>
            </w:pPr>
            <w:r>
              <w:rPr>
                <w:rFonts w:ascii="Calibri" w:hAnsi="Calibri"/>
                <w:b/>
                <w:i w:val="0"/>
                <w:color w:val="FFFFFF"/>
                <w:sz w:val="14"/>
              </w:rPr>
              <w:t>Length (m)</w:t>
            </w:r>
          </w:p>
        </w:tc>
        <w:tc>
          <w:tcPr>
            <w:tcW w:type="dxa" w:w="1139"/>
            <w:shd w:val="clear" w:color="auto" w:fill="0A2540"/>
          </w:tcPr>
          <w:p>
            <w:pPr>
              <w:spacing w:after="0"/>
              <w:jc w:val="center"/>
            </w:pPr>
            <w:r>
              <w:rPr>
                <w:rFonts w:ascii="Calibri" w:hAnsi="Calibri"/>
                <w:b/>
                <w:i w:val="0"/>
                <w:color w:val="FFFFFF"/>
                <w:sz w:val="14"/>
              </w:rPr>
              <w:t>Cable / Bus</w:t>
            </w:r>
          </w:p>
        </w:tc>
        <w:tc>
          <w:tcPr>
            <w:tcW w:type="dxa" w:w="488"/>
            <w:shd w:val="clear" w:color="auto" w:fill="0A2540"/>
          </w:tcPr>
          <w:p>
            <w:pPr>
              <w:spacing w:after="0"/>
              <w:jc w:val="center"/>
            </w:pPr>
            <w:r>
              <w:rPr>
                <w:rFonts w:ascii="Calibri" w:hAnsi="Calibri"/>
                <w:b/>
                <w:i w:val="0"/>
                <w:color w:val="FFFFFF"/>
                <w:sz w:val="14"/>
              </w:rPr>
              <w:t>Runs</w:t>
            </w:r>
          </w:p>
        </w:tc>
        <w:tc>
          <w:tcPr>
            <w:tcW w:type="dxa" w:w="841"/>
            <w:shd w:val="clear" w:color="auto" w:fill="0A2540"/>
          </w:tcPr>
          <w:p>
            <w:pPr>
              <w:spacing w:after="0"/>
              <w:jc w:val="center"/>
            </w:pPr>
            <w:r>
              <w:rPr>
                <w:rFonts w:ascii="Calibri" w:hAnsi="Calibri"/>
                <w:b/>
                <w:i w:val="0"/>
                <w:color w:val="FFFFFF"/>
                <w:sz w:val="14"/>
              </w:rPr>
              <w:t>ECC</w:t>
            </w:r>
          </w:p>
        </w:tc>
        <w:tc>
          <w:tcPr>
            <w:tcW w:type="dxa" w:w="1193"/>
            <w:shd w:val="clear" w:color="auto" w:fill="0A2540"/>
          </w:tcPr>
          <w:p>
            <w:pPr>
              <w:spacing w:after="0"/>
              <w:jc w:val="center"/>
            </w:pPr>
            <w:r>
              <w:rPr>
                <w:rFonts w:ascii="Calibri" w:hAnsi="Calibri"/>
                <w:b/>
                <w:i w:val="0"/>
                <w:color w:val="FFFFFF"/>
                <w:sz w:val="14"/>
              </w:rPr>
              <w:t>Type</w:t>
            </w:r>
          </w:p>
        </w:tc>
        <w:tc>
          <w:tcPr>
            <w:tcW w:type="dxa" w:w="759"/>
            <w:shd w:val="clear" w:color="auto" w:fill="0A2540"/>
          </w:tcPr>
          <w:p>
            <w:pPr>
              <w:spacing w:after="0"/>
              <w:jc w:val="center"/>
            </w:pPr>
            <w:r>
              <w:rPr>
                <w:rFonts w:ascii="Calibri" w:hAnsi="Calibri"/>
                <w:b/>
                <w:i w:val="0"/>
                <w:color w:val="FFFFFF"/>
                <w:sz w:val="14"/>
              </w:rPr>
              <w:t>mV/A/m</w:t>
            </w:r>
          </w:p>
        </w:tc>
        <w:tc>
          <w:tcPr>
            <w:tcW w:type="dxa" w:w="624"/>
            <w:shd w:val="clear" w:color="auto" w:fill="0A2540"/>
          </w:tcPr>
          <w:p>
            <w:pPr>
              <w:spacing w:after="0"/>
              <w:jc w:val="center"/>
            </w:pPr>
            <w:r>
              <w:rPr>
                <w:rFonts w:ascii="Calibri" w:hAnsi="Calibri"/>
                <w:b/>
                <w:i w:val="0"/>
                <w:color w:val="FFFFFF"/>
                <w:sz w:val="14"/>
              </w:rPr>
              <w:t>Seg VD (V)</w:t>
            </w:r>
          </w:p>
        </w:tc>
        <w:tc>
          <w:tcPr>
            <w:tcW w:type="dxa" w:w="624"/>
            <w:shd w:val="clear" w:color="auto" w:fill="0A2540"/>
          </w:tcPr>
          <w:p>
            <w:pPr>
              <w:spacing w:after="0"/>
              <w:jc w:val="center"/>
            </w:pPr>
            <w:r>
              <w:rPr>
                <w:rFonts w:ascii="Calibri" w:hAnsi="Calibri"/>
                <w:b/>
                <w:i w:val="0"/>
                <w:color w:val="FFFFFF"/>
                <w:sz w:val="14"/>
              </w:rPr>
              <w:t>Seg VD (%)</w:t>
            </w:r>
          </w:p>
        </w:tc>
        <w:tc>
          <w:tcPr>
            <w:tcW w:type="dxa" w:w="624"/>
            <w:shd w:val="clear" w:color="auto" w:fill="0A2540"/>
          </w:tcPr>
          <w:p>
            <w:pPr>
              <w:spacing w:after="0"/>
              <w:jc w:val="center"/>
            </w:pPr>
            <w:r>
              <w:rPr>
                <w:rFonts w:ascii="Calibri" w:hAnsi="Calibri"/>
                <w:b/>
                <w:i w:val="0"/>
                <w:color w:val="FFFFFF"/>
                <w:sz w:val="14"/>
              </w:rPr>
              <w:t>Cum VD (V)</w:t>
            </w:r>
          </w:p>
        </w:tc>
        <w:tc>
          <w:tcPr>
            <w:tcW w:type="dxa" w:w="624"/>
            <w:shd w:val="clear" w:color="auto" w:fill="0A2540"/>
          </w:tcPr>
          <w:p>
            <w:pPr>
              <w:spacing w:after="0"/>
              <w:jc w:val="center"/>
            </w:pPr>
            <w:r>
              <w:rPr>
                <w:rFonts w:ascii="Calibri" w:hAnsi="Calibri"/>
                <w:b/>
                <w:i w:val="0"/>
                <w:color w:val="FFFFFF"/>
                <w:sz w:val="14"/>
              </w:rPr>
              <w:t>Cum VD (%)</w:t>
            </w:r>
          </w:p>
        </w:tc>
        <w:tc>
          <w:tcPr>
            <w:tcW w:type="dxa" w:w="624"/>
            <w:shd w:val="clear" w:color="auto" w:fill="0A2540"/>
          </w:tcPr>
          <w:p>
            <w:pPr>
              <w:spacing w:after="0"/>
              <w:jc w:val="center"/>
            </w:pPr>
            <w:r>
              <w:rPr>
                <w:rFonts w:ascii="Calibri" w:hAnsi="Calibri"/>
                <w:b/>
                <w:i w:val="0"/>
                <w:color w:val="FFFFFF"/>
                <w:sz w:val="14"/>
              </w:rPr>
              <w:t>Ipf max/min (kA)</w:t>
            </w:r>
          </w:p>
        </w:tc>
        <w:tc>
          <w:tcPr>
            <w:tcW w:type="dxa" w:w="678"/>
            <w:shd w:val="clear" w:color="auto" w:fill="0A2540"/>
          </w:tcPr>
          <w:p>
            <w:pPr>
              <w:spacing w:after="0"/>
              <w:jc w:val="center"/>
            </w:pPr>
            <w:r>
              <w:rPr>
                <w:rFonts w:ascii="Calibri" w:hAnsi="Calibri"/>
                <w:b/>
                <w:i w:val="0"/>
                <w:color w:val="FFFFFF"/>
                <w:sz w:val="14"/>
              </w:rPr>
              <w:t>Check</w:t>
            </w:r>
          </w:p>
        </w:tc>
      </w:tr>
      <w:tr>
        <w:tc>
          <w:tcPr>
            <w:tcW w:type="dxa" w:w="1057"/>
            <w:shd w:val="clear" w:color="auto" w:fill="EFF9FC"/>
          </w:tcPr>
          <w:p>
            <w:pPr>
              <w:spacing w:after="0"/>
              <w:jc w:val="left"/>
            </w:pPr>
            <w:r>
              <w:rPr>
                <w:rFonts w:ascii="Calibri" w:hAnsi="Calibri"/>
                <w:b w:val="0"/>
                <w:i w:val="0"/>
                <w:sz w:val="14"/>
              </w:rPr>
              <w:t>MDB-01</w:t>
            </w:r>
          </w:p>
        </w:tc>
        <w:tc>
          <w:tcPr>
            <w:tcW w:type="dxa" w:w="1057"/>
            <w:shd w:val="clear" w:color="auto" w:fill="EFF9FC"/>
          </w:tcPr>
          <w:p>
            <w:pPr>
              <w:spacing w:after="0"/>
              <w:jc w:val="left"/>
            </w:pPr>
            <w:r>
              <w:rPr>
                <w:rFonts w:ascii="Calibri" w:hAnsi="Calibri"/>
                <w:b w:val="0"/>
                <w:i w:val="0"/>
                <w:sz w:val="14"/>
              </w:rPr>
              <w:t>SMDB-POD</w:t>
            </w:r>
          </w:p>
        </w:tc>
        <w:tc>
          <w:tcPr>
            <w:tcW w:type="dxa" w:w="624"/>
            <w:shd w:val="clear" w:color="auto" w:fill="EFF9FC"/>
          </w:tcPr>
          <w:p>
            <w:pPr>
              <w:spacing w:after="0"/>
              <w:jc w:val="center"/>
            </w:pPr>
            <w:r>
              <w:rPr>
                <w:rFonts w:ascii="Calibri" w:hAnsi="Calibri"/>
                <w:b w:val="0"/>
                <w:i w:val="0"/>
                <w:sz w:val="14"/>
              </w:rPr>
              <w:t>75.0</w:t>
            </w:r>
          </w:p>
        </w:tc>
        <w:tc>
          <w:tcPr>
            <w:tcW w:type="dxa" w:w="732"/>
            <w:shd w:val="clear" w:color="auto" w:fill="EFF9FC"/>
          </w:tcPr>
          <w:p>
            <w:pPr>
              <w:spacing w:after="0"/>
              <w:jc w:val="center"/>
            </w:pPr>
            <w:r>
              <w:rPr>
                <w:rFonts w:ascii="Calibri" w:hAnsi="Calibri"/>
                <w:b w:val="0"/>
                <w:i w:val="0"/>
                <w:sz w:val="14"/>
              </w:rPr>
              <w:t>96.2</w:t>
            </w:r>
          </w:p>
        </w:tc>
        <w:tc>
          <w:tcPr>
            <w:tcW w:type="dxa" w:w="624"/>
            <w:shd w:val="clear" w:color="auto" w:fill="EFF9FC"/>
          </w:tcPr>
          <w:p>
            <w:pPr>
              <w:spacing w:after="0"/>
              <w:jc w:val="center"/>
            </w:pPr>
            <w:r>
              <w:rPr>
                <w:rFonts w:ascii="Calibri" w:hAnsi="Calibri"/>
                <w:b w:val="0"/>
                <w:i w:val="0"/>
                <w:sz w:val="14"/>
              </w:rPr>
              <w:t>100</w:t>
            </w:r>
          </w:p>
        </w:tc>
        <w:tc>
          <w:tcPr>
            <w:tcW w:type="dxa" w:w="651"/>
            <w:shd w:val="clear" w:color="auto" w:fill="EFF9FC"/>
          </w:tcPr>
          <w:p>
            <w:pPr>
              <w:spacing w:after="0"/>
              <w:jc w:val="center"/>
            </w:pPr>
            <w:r>
              <w:rPr>
                <w:rFonts w:ascii="Calibri" w:hAnsi="Calibri"/>
                <w:b w:val="0"/>
                <w:i w:val="0"/>
                <w:sz w:val="14"/>
              </w:rPr>
              <w:t>40.0</w:t>
            </w:r>
          </w:p>
        </w:tc>
        <w:tc>
          <w:tcPr>
            <w:tcW w:type="dxa" w:w="1139"/>
            <w:shd w:val="clear" w:color="auto" w:fill="EFF9FC"/>
          </w:tcPr>
          <w:p>
            <w:pPr>
              <w:spacing w:after="0"/>
              <w:jc w:val="center"/>
            </w:pPr>
            <w:r>
              <w:rPr>
                <w:rFonts w:ascii="Calibri" w:hAnsi="Calibri"/>
                <w:b w:val="0"/>
                <w:i w:val="0"/>
                <w:sz w:val="14"/>
              </w:rPr>
              <w:t>1x4C 35</w:t>
            </w:r>
          </w:p>
        </w:tc>
        <w:tc>
          <w:tcPr>
            <w:tcW w:type="dxa" w:w="488"/>
            <w:shd w:val="clear" w:color="auto" w:fill="EFF9FC"/>
          </w:tcPr>
          <w:p>
            <w:pPr>
              <w:spacing w:after="0"/>
              <w:jc w:val="center"/>
            </w:pPr>
            <w:r>
              <w:rPr>
                <w:rFonts w:ascii="Calibri" w:hAnsi="Calibri"/>
                <w:b w:val="0"/>
                <w:i w:val="0"/>
                <w:sz w:val="14"/>
              </w:rPr>
              <w:t>1</w:t>
            </w:r>
          </w:p>
        </w:tc>
        <w:tc>
          <w:tcPr>
            <w:tcW w:type="dxa" w:w="841"/>
            <w:shd w:val="clear" w:color="auto" w:fill="EFF9FC"/>
          </w:tcPr>
          <w:p>
            <w:pPr>
              <w:spacing w:after="0"/>
              <w:jc w:val="center"/>
            </w:pPr>
            <w:r>
              <w:rPr>
                <w:rFonts w:ascii="Calibri" w:hAnsi="Calibri"/>
                <w:b w:val="0"/>
                <w:i w:val="0"/>
                <w:sz w:val="14"/>
              </w:rPr>
              <w:t>1x1C 16</w:t>
            </w:r>
          </w:p>
        </w:tc>
        <w:tc>
          <w:tcPr>
            <w:tcW w:type="dxa" w:w="1193"/>
            <w:shd w:val="clear" w:color="auto" w:fill="EFF9FC"/>
          </w:tcPr>
          <w:p>
            <w:pPr>
              <w:spacing w:after="0"/>
              <w:jc w:val="center"/>
            </w:pPr>
            <w:r>
              <w:rPr>
                <w:rFonts w:ascii="Calibri" w:hAnsi="Calibri"/>
                <w:b w:val="0"/>
                <w:i w:val="0"/>
                <w:sz w:val="14"/>
              </w:rPr>
              <w:t>XLPE/SWA/LSZH</w:t>
            </w:r>
          </w:p>
        </w:tc>
        <w:tc>
          <w:tcPr>
            <w:tcW w:type="dxa" w:w="759"/>
            <w:shd w:val="clear" w:color="auto" w:fill="EFF9FC"/>
          </w:tcPr>
          <w:p>
            <w:pPr>
              <w:spacing w:after="0"/>
              <w:jc w:val="center"/>
            </w:pPr>
            <w:r>
              <w:rPr>
                <w:rFonts w:ascii="Calibri" w:hAnsi="Calibri"/>
                <w:b w:val="0"/>
                <w:i w:val="0"/>
                <w:sz w:val="14"/>
              </w:rPr>
              <w:t>1.09</w:t>
            </w:r>
          </w:p>
        </w:tc>
        <w:tc>
          <w:tcPr>
            <w:tcW w:type="dxa" w:w="624"/>
            <w:shd w:val="clear" w:color="auto" w:fill="EFF9FC"/>
          </w:tcPr>
          <w:p>
            <w:pPr>
              <w:spacing w:after="0"/>
              <w:jc w:val="center"/>
            </w:pPr>
            <w:r>
              <w:rPr>
                <w:rFonts w:ascii="Calibri" w:hAnsi="Calibri"/>
                <w:b w:val="0"/>
                <w:i w:val="0"/>
                <w:sz w:val="14"/>
              </w:rPr>
              <w:t>4.21</w:t>
            </w:r>
          </w:p>
        </w:tc>
        <w:tc>
          <w:tcPr>
            <w:tcW w:type="dxa" w:w="624"/>
            <w:shd w:val="clear" w:color="auto" w:fill="EFF9FC"/>
          </w:tcPr>
          <w:p>
            <w:pPr>
              <w:spacing w:after="0"/>
              <w:jc w:val="center"/>
            </w:pPr>
            <w:r>
              <w:rPr>
                <w:rFonts w:ascii="Calibri" w:hAnsi="Calibri"/>
                <w:b w:val="0"/>
                <w:i w:val="0"/>
                <w:sz w:val="14"/>
              </w:rPr>
              <w:t>1.05</w:t>
            </w:r>
          </w:p>
        </w:tc>
        <w:tc>
          <w:tcPr>
            <w:tcW w:type="dxa" w:w="624"/>
            <w:shd w:val="clear" w:color="auto" w:fill="EFF9FC"/>
          </w:tcPr>
          <w:p>
            <w:pPr>
              <w:spacing w:after="0"/>
              <w:jc w:val="center"/>
            </w:pPr>
            <w:r>
              <w:rPr>
                <w:rFonts w:ascii="Calibri" w:hAnsi="Calibri"/>
                <w:b w:val="0"/>
                <w:i w:val="0"/>
                <w:sz w:val="14"/>
              </w:rPr>
              <w:t>4.21</w:t>
            </w:r>
          </w:p>
        </w:tc>
        <w:tc>
          <w:tcPr>
            <w:tcW w:type="dxa" w:w="624"/>
            <w:shd w:val="clear" w:color="auto" w:fill="EFF9FC"/>
          </w:tcPr>
          <w:p>
            <w:pPr>
              <w:spacing w:after="0"/>
              <w:jc w:val="center"/>
            </w:pPr>
            <w:r>
              <w:rPr>
                <w:rFonts w:ascii="Calibri" w:hAnsi="Calibri"/>
                <w:b w:val="0"/>
                <w:i w:val="0"/>
                <w:sz w:val="14"/>
              </w:rPr>
              <w:t>1.05</w:t>
            </w:r>
          </w:p>
        </w:tc>
        <w:tc>
          <w:tcPr>
            <w:tcW w:type="dxa" w:w="624"/>
            <w:shd w:val="clear" w:color="auto" w:fill="EFF9FC"/>
          </w:tcPr>
          <w:p>
            <w:pPr>
              <w:spacing w:after="0"/>
              <w:jc w:val="center"/>
            </w:pPr>
            <w:r>
              <w:rPr>
                <w:rFonts w:ascii="Calibri" w:hAnsi="Calibri"/>
                <w:b w:val="0"/>
                <w:i w:val="0"/>
                <w:sz w:val="14"/>
              </w:rPr>
              <w:t>-</w:t>
            </w:r>
          </w:p>
        </w:tc>
        <w:tc>
          <w:tcPr>
            <w:tcW w:type="dxa" w:w="678"/>
            <w:shd w:val="clear" w:color="auto" w:fill="EFF9FC"/>
          </w:tcPr>
          <w:p>
            <w:pPr>
              <w:spacing w:after="0"/>
              <w:jc w:val="center"/>
            </w:pPr>
            <w:r>
              <w:rPr>
                <w:rFonts w:ascii="Calibri" w:hAnsi="Calibri"/>
                <w:b/>
                <w:i w:val="0"/>
                <w:sz w:val="14"/>
              </w:rPr>
              <w:t>ok</w:t>
            </w:r>
          </w:p>
        </w:tc>
      </w:tr>
      <w:tr>
        <w:tc>
          <w:tcPr>
            <w:tcW w:type="dxa" w:w="1057"/>
            <w:shd w:val="clear" w:color="auto" w:fill="FFFFFF"/>
          </w:tcPr>
          <w:p>
            <w:pPr>
              <w:spacing w:after="0"/>
              <w:jc w:val="left"/>
            </w:pPr>
            <w:r>
              <w:rPr>
                <w:rFonts w:ascii="Calibri" w:hAnsi="Calibri"/>
                <w:b w:val="0"/>
                <w:i w:val="0"/>
                <w:sz w:val="14"/>
              </w:rPr>
              <w:t>SMDB-POD</w:t>
            </w:r>
          </w:p>
        </w:tc>
        <w:tc>
          <w:tcPr>
            <w:tcW w:type="dxa" w:w="1057"/>
            <w:shd w:val="clear" w:color="auto" w:fill="FFFFFF"/>
          </w:tcPr>
          <w:p>
            <w:pPr>
              <w:spacing w:after="0"/>
              <w:jc w:val="left"/>
            </w:pPr>
            <w:r>
              <w:rPr>
                <w:rFonts w:ascii="Calibri" w:hAnsi="Calibri"/>
                <w:b w:val="0"/>
                <w:i w:val="0"/>
                <w:sz w:val="14"/>
              </w:rPr>
              <w:t>DB-POD-RT1</w:t>
            </w:r>
          </w:p>
        </w:tc>
        <w:tc>
          <w:tcPr>
            <w:tcW w:type="dxa" w:w="624"/>
            <w:shd w:val="clear" w:color="auto" w:fill="FFFFFF"/>
          </w:tcPr>
          <w:p>
            <w:pPr>
              <w:spacing w:after="0"/>
              <w:jc w:val="center"/>
            </w:pPr>
            <w:r>
              <w:rPr>
                <w:rFonts w:ascii="Calibri" w:hAnsi="Calibri"/>
                <w:b w:val="0"/>
                <w:i w:val="0"/>
                <w:sz w:val="14"/>
              </w:rPr>
              <w:t>30.0</w:t>
            </w:r>
          </w:p>
        </w:tc>
        <w:tc>
          <w:tcPr>
            <w:tcW w:type="dxa" w:w="732"/>
            <w:shd w:val="clear" w:color="auto" w:fill="FFFFFF"/>
          </w:tcPr>
          <w:p>
            <w:pPr>
              <w:spacing w:after="0"/>
              <w:jc w:val="center"/>
            </w:pPr>
            <w:r>
              <w:rPr>
                <w:rFonts w:ascii="Calibri" w:hAnsi="Calibri"/>
                <w:b w:val="0"/>
                <w:i w:val="0"/>
                <w:sz w:val="14"/>
              </w:rPr>
              <w:t>48.1</w:t>
            </w:r>
          </w:p>
        </w:tc>
        <w:tc>
          <w:tcPr>
            <w:tcW w:type="dxa" w:w="624"/>
            <w:shd w:val="clear" w:color="auto" w:fill="FFFFFF"/>
          </w:tcPr>
          <w:p>
            <w:pPr>
              <w:spacing w:after="0"/>
              <w:jc w:val="center"/>
            </w:pPr>
            <w:r>
              <w:rPr>
                <w:rFonts w:ascii="Calibri" w:hAnsi="Calibri"/>
                <w:b w:val="0"/>
                <w:i w:val="0"/>
                <w:sz w:val="14"/>
              </w:rPr>
              <w:t>50</w:t>
            </w:r>
          </w:p>
        </w:tc>
        <w:tc>
          <w:tcPr>
            <w:tcW w:type="dxa" w:w="651"/>
            <w:shd w:val="clear" w:color="auto" w:fill="FFFFFF"/>
          </w:tcPr>
          <w:p>
            <w:pPr>
              <w:spacing w:after="0"/>
              <w:jc w:val="center"/>
            </w:pPr>
            <w:r>
              <w:rPr>
                <w:rFonts w:ascii="Calibri" w:hAnsi="Calibri"/>
                <w:b w:val="0"/>
                <w:i w:val="0"/>
                <w:sz w:val="14"/>
              </w:rPr>
              <w:t>35.0</w:t>
            </w:r>
          </w:p>
        </w:tc>
        <w:tc>
          <w:tcPr>
            <w:tcW w:type="dxa" w:w="1139"/>
            <w:shd w:val="clear" w:color="auto" w:fill="FFFFFF"/>
          </w:tcPr>
          <w:p>
            <w:pPr>
              <w:spacing w:after="0"/>
              <w:jc w:val="center"/>
            </w:pPr>
            <w:r>
              <w:rPr>
                <w:rFonts w:ascii="Calibri" w:hAnsi="Calibri"/>
                <w:b w:val="0"/>
                <w:i w:val="0"/>
                <w:sz w:val="14"/>
              </w:rPr>
              <w:t>1x4C 10</w:t>
            </w:r>
          </w:p>
        </w:tc>
        <w:tc>
          <w:tcPr>
            <w:tcW w:type="dxa" w:w="488"/>
            <w:shd w:val="clear" w:color="auto" w:fill="FFFFFF"/>
          </w:tcPr>
          <w:p>
            <w:pPr>
              <w:spacing w:after="0"/>
              <w:jc w:val="center"/>
            </w:pPr>
            <w:r>
              <w:rPr>
                <w:rFonts w:ascii="Calibri" w:hAnsi="Calibri"/>
                <w:b w:val="0"/>
                <w:i w:val="0"/>
                <w:sz w:val="14"/>
              </w:rPr>
              <w:t>1</w:t>
            </w:r>
          </w:p>
        </w:tc>
        <w:tc>
          <w:tcPr>
            <w:tcW w:type="dxa" w:w="841"/>
            <w:shd w:val="clear" w:color="auto" w:fill="FFFFFF"/>
          </w:tcPr>
          <w:p>
            <w:pPr>
              <w:spacing w:after="0"/>
              <w:jc w:val="center"/>
            </w:pPr>
            <w:r>
              <w:rPr>
                <w:rFonts w:ascii="Calibri" w:hAnsi="Calibri"/>
                <w:b w:val="0"/>
                <w:i w:val="0"/>
                <w:sz w:val="14"/>
              </w:rPr>
              <w:t>1x1C 10</w:t>
            </w:r>
          </w:p>
        </w:tc>
        <w:tc>
          <w:tcPr>
            <w:tcW w:type="dxa" w:w="1193"/>
            <w:shd w:val="clear" w:color="auto" w:fill="FFFFFF"/>
          </w:tcPr>
          <w:p>
            <w:pPr>
              <w:spacing w:after="0"/>
              <w:jc w:val="center"/>
            </w:pPr>
            <w:r>
              <w:rPr>
                <w:rFonts w:ascii="Calibri" w:hAnsi="Calibri"/>
                <w:b w:val="0"/>
                <w:i w:val="0"/>
                <w:sz w:val="14"/>
              </w:rPr>
              <w:t>XLPE/SWA/LSZH</w:t>
            </w:r>
          </w:p>
        </w:tc>
        <w:tc>
          <w:tcPr>
            <w:tcW w:type="dxa" w:w="759"/>
            <w:shd w:val="clear" w:color="auto" w:fill="FFFFFF"/>
          </w:tcPr>
          <w:p>
            <w:pPr>
              <w:spacing w:after="0"/>
              <w:jc w:val="center"/>
            </w:pPr>
            <w:r>
              <w:rPr>
                <w:rFonts w:ascii="Calibri" w:hAnsi="Calibri"/>
                <w:b w:val="0"/>
                <w:i w:val="0"/>
                <w:sz w:val="14"/>
              </w:rPr>
              <w:t>4.00</w:t>
            </w:r>
          </w:p>
        </w:tc>
        <w:tc>
          <w:tcPr>
            <w:tcW w:type="dxa" w:w="624"/>
            <w:shd w:val="clear" w:color="auto" w:fill="FFFFFF"/>
          </w:tcPr>
          <w:p>
            <w:pPr>
              <w:spacing w:after="0"/>
              <w:jc w:val="center"/>
            </w:pPr>
            <w:r>
              <w:rPr>
                <w:rFonts w:ascii="Calibri" w:hAnsi="Calibri"/>
                <w:b w:val="0"/>
                <w:i w:val="0"/>
                <w:sz w:val="14"/>
              </w:rPr>
              <w:t>6.74</w:t>
            </w:r>
          </w:p>
        </w:tc>
        <w:tc>
          <w:tcPr>
            <w:tcW w:type="dxa" w:w="624"/>
            <w:shd w:val="clear" w:color="auto" w:fill="FFFFFF"/>
          </w:tcPr>
          <w:p>
            <w:pPr>
              <w:spacing w:after="0"/>
              <w:jc w:val="center"/>
            </w:pPr>
            <w:r>
              <w:rPr>
                <w:rFonts w:ascii="Calibri" w:hAnsi="Calibri"/>
                <w:b w:val="0"/>
                <w:i w:val="0"/>
                <w:sz w:val="14"/>
              </w:rPr>
              <w:t>1.68</w:t>
            </w:r>
          </w:p>
        </w:tc>
        <w:tc>
          <w:tcPr>
            <w:tcW w:type="dxa" w:w="624"/>
            <w:shd w:val="clear" w:color="auto" w:fill="FFFFFF"/>
          </w:tcPr>
          <w:p>
            <w:pPr>
              <w:spacing w:after="0"/>
              <w:jc w:val="center"/>
            </w:pPr>
            <w:r>
              <w:rPr>
                <w:rFonts w:ascii="Calibri" w:hAnsi="Calibri"/>
                <w:b w:val="0"/>
                <w:i w:val="0"/>
                <w:sz w:val="14"/>
              </w:rPr>
              <w:t>10.95</w:t>
            </w:r>
          </w:p>
        </w:tc>
        <w:tc>
          <w:tcPr>
            <w:tcW w:type="dxa" w:w="624"/>
            <w:shd w:val="clear" w:color="auto" w:fill="FFFFFF"/>
          </w:tcPr>
          <w:p>
            <w:pPr>
              <w:spacing w:after="0"/>
              <w:jc w:val="center"/>
            </w:pPr>
            <w:r>
              <w:rPr>
                <w:rFonts w:ascii="Calibri" w:hAnsi="Calibri"/>
                <w:b w:val="0"/>
                <w:i w:val="0"/>
                <w:sz w:val="14"/>
              </w:rPr>
              <w:t>2.74</w:t>
            </w:r>
          </w:p>
        </w:tc>
        <w:tc>
          <w:tcPr>
            <w:tcW w:type="dxa" w:w="624"/>
            <w:shd w:val="clear" w:color="auto" w:fill="FFFFFF"/>
          </w:tcPr>
          <w:p>
            <w:pPr>
              <w:spacing w:after="0"/>
              <w:jc w:val="center"/>
            </w:pPr>
            <w:r>
              <w:rPr>
                <w:rFonts w:ascii="Calibri" w:hAnsi="Calibri"/>
                <w:b w:val="0"/>
                <w:i w:val="0"/>
                <w:sz w:val="14"/>
              </w:rPr>
              <w:t>-</w:t>
            </w:r>
          </w:p>
        </w:tc>
        <w:tc>
          <w:tcPr>
            <w:tcW w:type="dxa" w:w="678"/>
            <w:shd w:val="clear" w:color="auto" w:fill="FFFFFF"/>
          </w:tcPr>
          <w:p>
            <w:pPr>
              <w:spacing w:after="0"/>
              <w:jc w:val="center"/>
            </w:pPr>
            <w:r>
              <w:rPr>
                <w:rFonts w:ascii="Calibri" w:hAnsi="Calibri"/>
                <w:b/>
                <w:i w:val="0"/>
                <w:sz w:val="14"/>
              </w:rPr>
              <w:t>ok</w:t>
            </w:r>
          </w:p>
        </w:tc>
      </w:tr>
      <w:tr>
        <w:tc>
          <w:tcPr>
            <w:tcW w:type="dxa" w:w="1057"/>
            <w:shd w:val="clear" w:color="auto" w:fill="EFF9FC"/>
          </w:tcPr>
          <w:p>
            <w:pPr>
              <w:spacing w:after="0"/>
              <w:jc w:val="left"/>
            </w:pPr>
            <w:r>
              <w:rPr>
                <w:rFonts w:ascii="Calibri" w:hAnsi="Calibri"/>
                <w:b w:val="0"/>
                <w:i w:val="0"/>
                <w:sz w:val="14"/>
              </w:rPr>
              <w:t>SMDB-POD</w:t>
            </w:r>
          </w:p>
        </w:tc>
        <w:tc>
          <w:tcPr>
            <w:tcW w:type="dxa" w:w="1057"/>
            <w:shd w:val="clear" w:color="auto" w:fill="EFF9FC"/>
          </w:tcPr>
          <w:p>
            <w:pPr>
              <w:spacing w:after="0"/>
              <w:jc w:val="left"/>
            </w:pPr>
            <w:r>
              <w:rPr>
                <w:rFonts w:ascii="Calibri" w:hAnsi="Calibri"/>
                <w:b w:val="0"/>
                <w:i w:val="0"/>
                <w:sz w:val="14"/>
              </w:rPr>
              <w:t>DB-POD-KIT</w:t>
            </w:r>
          </w:p>
        </w:tc>
        <w:tc>
          <w:tcPr>
            <w:tcW w:type="dxa" w:w="624"/>
            <w:shd w:val="clear" w:color="auto" w:fill="EFF9FC"/>
          </w:tcPr>
          <w:p>
            <w:pPr>
              <w:spacing w:after="0"/>
              <w:jc w:val="center"/>
            </w:pPr>
            <w:r>
              <w:rPr>
                <w:rFonts w:ascii="Calibri" w:hAnsi="Calibri"/>
                <w:b w:val="0"/>
                <w:i w:val="0"/>
                <w:sz w:val="14"/>
              </w:rPr>
              <w:t>45.0</w:t>
            </w:r>
          </w:p>
        </w:tc>
        <w:tc>
          <w:tcPr>
            <w:tcW w:type="dxa" w:w="732"/>
            <w:shd w:val="clear" w:color="auto" w:fill="EFF9FC"/>
          </w:tcPr>
          <w:p>
            <w:pPr>
              <w:spacing w:after="0"/>
              <w:jc w:val="center"/>
            </w:pPr>
            <w:r>
              <w:rPr>
                <w:rFonts w:ascii="Calibri" w:hAnsi="Calibri"/>
                <w:b w:val="0"/>
                <w:i w:val="0"/>
                <w:sz w:val="14"/>
              </w:rPr>
              <w:t>72.2</w:t>
            </w:r>
          </w:p>
        </w:tc>
        <w:tc>
          <w:tcPr>
            <w:tcW w:type="dxa" w:w="624"/>
            <w:shd w:val="clear" w:color="auto" w:fill="EFF9FC"/>
          </w:tcPr>
          <w:p>
            <w:pPr>
              <w:spacing w:after="0"/>
              <w:jc w:val="center"/>
            </w:pPr>
            <w:r>
              <w:rPr>
                <w:rFonts w:ascii="Calibri" w:hAnsi="Calibri"/>
                <w:b w:val="0"/>
                <w:i w:val="0"/>
                <w:sz w:val="14"/>
              </w:rPr>
              <w:t>80</w:t>
            </w:r>
          </w:p>
        </w:tc>
        <w:tc>
          <w:tcPr>
            <w:tcW w:type="dxa" w:w="651"/>
            <w:shd w:val="clear" w:color="auto" w:fill="EFF9FC"/>
          </w:tcPr>
          <w:p>
            <w:pPr>
              <w:spacing w:after="0"/>
              <w:jc w:val="center"/>
            </w:pPr>
            <w:r>
              <w:rPr>
                <w:rFonts w:ascii="Calibri" w:hAnsi="Calibri"/>
                <w:b w:val="0"/>
                <w:i w:val="0"/>
                <w:sz w:val="14"/>
              </w:rPr>
              <w:t>25.0</w:t>
            </w:r>
          </w:p>
        </w:tc>
        <w:tc>
          <w:tcPr>
            <w:tcW w:type="dxa" w:w="1139"/>
            <w:shd w:val="clear" w:color="auto" w:fill="EFF9FC"/>
          </w:tcPr>
          <w:p>
            <w:pPr>
              <w:spacing w:after="0"/>
              <w:jc w:val="center"/>
            </w:pPr>
            <w:r>
              <w:rPr>
                <w:rFonts w:ascii="Calibri" w:hAnsi="Calibri"/>
                <w:b w:val="0"/>
                <w:i w:val="0"/>
                <w:sz w:val="14"/>
              </w:rPr>
              <w:t>1x4C 25</w:t>
            </w:r>
          </w:p>
        </w:tc>
        <w:tc>
          <w:tcPr>
            <w:tcW w:type="dxa" w:w="488"/>
            <w:shd w:val="clear" w:color="auto" w:fill="EFF9FC"/>
          </w:tcPr>
          <w:p>
            <w:pPr>
              <w:spacing w:after="0"/>
              <w:jc w:val="center"/>
            </w:pPr>
            <w:r>
              <w:rPr>
                <w:rFonts w:ascii="Calibri" w:hAnsi="Calibri"/>
                <w:b w:val="0"/>
                <w:i w:val="0"/>
                <w:sz w:val="14"/>
              </w:rPr>
              <w:t>1</w:t>
            </w:r>
          </w:p>
        </w:tc>
        <w:tc>
          <w:tcPr>
            <w:tcW w:type="dxa" w:w="841"/>
            <w:shd w:val="clear" w:color="auto" w:fill="EFF9FC"/>
          </w:tcPr>
          <w:p>
            <w:pPr>
              <w:spacing w:after="0"/>
              <w:jc w:val="center"/>
            </w:pPr>
            <w:r>
              <w:rPr>
                <w:rFonts w:ascii="Calibri" w:hAnsi="Calibri"/>
                <w:b w:val="0"/>
                <w:i w:val="0"/>
                <w:sz w:val="14"/>
              </w:rPr>
              <w:t>1x1C 16</w:t>
            </w:r>
          </w:p>
        </w:tc>
        <w:tc>
          <w:tcPr>
            <w:tcW w:type="dxa" w:w="1193"/>
            <w:shd w:val="clear" w:color="auto" w:fill="EFF9FC"/>
          </w:tcPr>
          <w:p>
            <w:pPr>
              <w:spacing w:after="0"/>
              <w:jc w:val="center"/>
            </w:pPr>
            <w:r>
              <w:rPr>
                <w:rFonts w:ascii="Calibri" w:hAnsi="Calibri"/>
                <w:b w:val="0"/>
                <w:i w:val="0"/>
                <w:sz w:val="14"/>
              </w:rPr>
              <w:t>XLPE/SWA/LSZH</w:t>
            </w:r>
          </w:p>
        </w:tc>
        <w:tc>
          <w:tcPr>
            <w:tcW w:type="dxa" w:w="759"/>
            <w:shd w:val="clear" w:color="auto" w:fill="EFF9FC"/>
          </w:tcPr>
          <w:p>
            <w:pPr>
              <w:spacing w:after="0"/>
              <w:jc w:val="center"/>
            </w:pPr>
            <w:r>
              <w:rPr>
                <w:rFonts w:ascii="Calibri" w:hAnsi="Calibri"/>
                <w:b w:val="0"/>
                <w:i w:val="0"/>
                <w:sz w:val="14"/>
              </w:rPr>
              <w:t>1.50</w:t>
            </w:r>
          </w:p>
        </w:tc>
        <w:tc>
          <w:tcPr>
            <w:tcW w:type="dxa" w:w="624"/>
            <w:shd w:val="clear" w:color="auto" w:fill="EFF9FC"/>
          </w:tcPr>
          <w:p>
            <w:pPr>
              <w:spacing w:after="0"/>
              <w:jc w:val="center"/>
            </w:pPr>
            <w:r>
              <w:rPr>
                <w:rFonts w:ascii="Calibri" w:hAnsi="Calibri"/>
                <w:b w:val="0"/>
                <w:i w:val="0"/>
                <w:sz w:val="14"/>
              </w:rPr>
              <w:t>2.71</w:t>
            </w:r>
          </w:p>
        </w:tc>
        <w:tc>
          <w:tcPr>
            <w:tcW w:type="dxa" w:w="624"/>
            <w:shd w:val="clear" w:color="auto" w:fill="EFF9FC"/>
          </w:tcPr>
          <w:p>
            <w:pPr>
              <w:spacing w:after="0"/>
              <w:jc w:val="center"/>
            </w:pPr>
            <w:r>
              <w:rPr>
                <w:rFonts w:ascii="Calibri" w:hAnsi="Calibri"/>
                <w:b w:val="0"/>
                <w:i w:val="0"/>
                <w:sz w:val="14"/>
              </w:rPr>
              <w:t>0.68</w:t>
            </w:r>
          </w:p>
        </w:tc>
        <w:tc>
          <w:tcPr>
            <w:tcW w:type="dxa" w:w="624"/>
            <w:shd w:val="clear" w:color="auto" w:fill="EFF9FC"/>
          </w:tcPr>
          <w:p>
            <w:pPr>
              <w:spacing w:after="0"/>
              <w:jc w:val="center"/>
            </w:pPr>
            <w:r>
              <w:rPr>
                <w:rFonts w:ascii="Calibri" w:hAnsi="Calibri"/>
                <w:b w:val="0"/>
                <w:i w:val="0"/>
                <w:sz w:val="14"/>
              </w:rPr>
              <w:t>6.92</w:t>
            </w:r>
          </w:p>
        </w:tc>
        <w:tc>
          <w:tcPr>
            <w:tcW w:type="dxa" w:w="624"/>
            <w:shd w:val="clear" w:color="auto" w:fill="EFF9FC"/>
          </w:tcPr>
          <w:p>
            <w:pPr>
              <w:spacing w:after="0"/>
              <w:jc w:val="center"/>
            </w:pPr>
            <w:r>
              <w:rPr>
                <w:rFonts w:ascii="Calibri" w:hAnsi="Calibri"/>
                <w:b w:val="0"/>
                <w:i w:val="0"/>
                <w:sz w:val="14"/>
              </w:rPr>
              <w:t>1.73</w:t>
            </w:r>
          </w:p>
        </w:tc>
        <w:tc>
          <w:tcPr>
            <w:tcW w:type="dxa" w:w="624"/>
            <w:shd w:val="clear" w:color="auto" w:fill="EFF9FC"/>
          </w:tcPr>
          <w:p>
            <w:pPr>
              <w:spacing w:after="0"/>
              <w:jc w:val="center"/>
            </w:pPr>
            <w:r>
              <w:rPr>
                <w:rFonts w:ascii="Calibri" w:hAnsi="Calibri"/>
                <w:b w:val="0"/>
                <w:i w:val="0"/>
                <w:sz w:val="14"/>
              </w:rPr>
              <w:t>-</w:t>
            </w:r>
          </w:p>
        </w:tc>
        <w:tc>
          <w:tcPr>
            <w:tcW w:type="dxa" w:w="678"/>
            <w:shd w:val="clear" w:color="auto" w:fill="EFF9FC"/>
          </w:tcPr>
          <w:p>
            <w:pPr>
              <w:spacing w:after="0"/>
              <w:jc w:val="center"/>
            </w:pPr>
            <w:r>
              <w:rPr>
                <w:rFonts w:ascii="Calibri" w:hAnsi="Calibri"/>
                <w:b/>
                <w:i w:val="0"/>
                <w:sz w:val="14"/>
              </w:rPr>
              <w:t>ok</w:t>
            </w:r>
          </w:p>
        </w:tc>
      </w:tr>
      <w:tr>
        <w:tc>
          <w:tcPr>
            <w:tcW w:type="dxa" w:w="1057"/>
            <w:shd w:val="clear" w:color="auto" w:fill="FFFFFF"/>
          </w:tcPr>
          <w:p>
            <w:pPr>
              <w:spacing w:after="0"/>
              <w:jc w:val="left"/>
            </w:pPr>
            <w:r>
              <w:rPr>
                <w:rFonts w:ascii="Calibri" w:hAnsi="Calibri"/>
                <w:b w:val="0"/>
                <w:i w:val="0"/>
                <w:sz w:val="14"/>
              </w:rPr>
              <w:t>MDB-01</w:t>
            </w:r>
          </w:p>
        </w:tc>
        <w:tc>
          <w:tcPr>
            <w:tcW w:type="dxa" w:w="1057"/>
            <w:shd w:val="clear" w:color="auto" w:fill="FFFFFF"/>
          </w:tcPr>
          <w:p>
            <w:pPr>
              <w:spacing w:after="0"/>
              <w:jc w:val="left"/>
            </w:pPr>
            <w:r>
              <w:rPr>
                <w:rFonts w:ascii="Calibri" w:hAnsi="Calibri"/>
                <w:b w:val="0"/>
                <w:i w:val="0"/>
                <w:sz w:val="14"/>
              </w:rPr>
              <w:t>SMDB-L10</w:t>
            </w:r>
          </w:p>
        </w:tc>
        <w:tc>
          <w:tcPr>
            <w:tcW w:type="dxa" w:w="624"/>
            <w:shd w:val="clear" w:color="auto" w:fill="FFFFFF"/>
          </w:tcPr>
          <w:p>
            <w:pPr>
              <w:spacing w:after="0"/>
              <w:jc w:val="center"/>
            </w:pPr>
            <w:r>
              <w:rPr>
                <w:rFonts w:ascii="Calibri" w:hAnsi="Calibri"/>
                <w:b w:val="0"/>
                <w:i w:val="0"/>
                <w:sz w:val="14"/>
              </w:rPr>
              <w:t>44.0</w:t>
            </w:r>
          </w:p>
        </w:tc>
        <w:tc>
          <w:tcPr>
            <w:tcW w:type="dxa" w:w="732"/>
            <w:shd w:val="clear" w:color="auto" w:fill="FFFFFF"/>
          </w:tcPr>
          <w:p>
            <w:pPr>
              <w:spacing w:after="0"/>
              <w:jc w:val="center"/>
            </w:pPr>
            <w:r>
              <w:rPr>
                <w:rFonts w:ascii="Calibri" w:hAnsi="Calibri"/>
                <w:b w:val="0"/>
                <w:i w:val="0"/>
                <w:sz w:val="14"/>
              </w:rPr>
              <w:t>56.5</w:t>
            </w:r>
          </w:p>
        </w:tc>
        <w:tc>
          <w:tcPr>
            <w:tcW w:type="dxa" w:w="624"/>
            <w:shd w:val="clear" w:color="auto" w:fill="FFFFFF"/>
          </w:tcPr>
          <w:p>
            <w:pPr>
              <w:spacing w:after="0"/>
              <w:jc w:val="center"/>
            </w:pPr>
            <w:r>
              <w:rPr>
                <w:rFonts w:ascii="Calibri" w:hAnsi="Calibri"/>
                <w:b w:val="0"/>
                <w:i w:val="0"/>
                <w:sz w:val="14"/>
              </w:rPr>
              <w:t>63</w:t>
            </w:r>
          </w:p>
        </w:tc>
        <w:tc>
          <w:tcPr>
            <w:tcW w:type="dxa" w:w="651"/>
            <w:shd w:val="clear" w:color="auto" w:fill="FFFFFF"/>
          </w:tcPr>
          <w:p>
            <w:pPr>
              <w:spacing w:after="0"/>
              <w:jc w:val="center"/>
            </w:pPr>
            <w:r>
              <w:rPr>
                <w:rFonts w:ascii="Calibri" w:hAnsi="Calibri"/>
                <w:b w:val="0"/>
                <w:i w:val="0"/>
                <w:sz w:val="14"/>
              </w:rPr>
              <w:t>55.0</w:t>
            </w:r>
          </w:p>
        </w:tc>
        <w:tc>
          <w:tcPr>
            <w:tcW w:type="dxa" w:w="1139"/>
            <w:shd w:val="clear" w:color="auto" w:fill="FFFFFF"/>
          </w:tcPr>
          <w:p>
            <w:pPr>
              <w:spacing w:after="0"/>
              <w:jc w:val="center"/>
            </w:pPr>
            <w:r>
              <w:rPr>
                <w:rFonts w:ascii="Calibri" w:hAnsi="Calibri"/>
                <w:b w:val="0"/>
                <w:i w:val="0"/>
                <w:sz w:val="14"/>
              </w:rPr>
              <w:t>1x4C 16</w:t>
            </w:r>
          </w:p>
        </w:tc>
        <w:tc>
          <w:tcPr>
            <w:tcW w:type="dxa" w:w="488"/>
            <w:shd w:val="clear" w:color="auto" w:fill="FFFFFF"/>
          </w:tcPr>
          <w:p>
            <w:pPr>
              <w:spacing w:after="0"/>
              <w:jc w:val="center"/>
            </w:pPr>
            <w:r>
              <w:rPr>
                <w:rFonts w:ascii="Calibri" w:hAnsi="Calibri"/>
                <w:b w:val="0"/>
                <w:i w:val="0"/>
                <w:sz w:val="14"/>
              </w:rPr>
              <w:t>1</w:t>
            </w:r>
          </w:p>
        </w:tc>
        <w:tc>
          <w:tcPr>
            <w:tcW w:type="dxa" w:w="841"/>
            <w:shd w:val="clear" w:color="auto" w:fill="FFFFFF"/>
          </w:tcPr>
          <w:p>
            <w:pPr>
              <w:spacing w:after="0"/>
              <w:jc w:val="center"/>
            </w:pPr>
            <w:r>
              <w:rPr>
                <w:rFonts w:ascii="Calibri" w:hAnsi="Calibri"/>
                <w:b w:val="0"/>
                <w:i w:val="0"/>
                <w:sz w:val="14"/>
              </w:rPr>
              <w:t>1x1C 16</w:t>
            </w:r>
          </w:p>
        </w:tc>
        <w:tc>
          <w:tcPr>
            <w:tcW w:type="dxa" w:w="1193"/>
            <w:shd w:val="clear" w:color="auto" w:fill="FFFFFF"/>
          </w:tcPr>
          <w:p>
            <w:pPr>
              <w:spacing w:after="0"/>
              <w:jc w:val="center"/>
            </w:pPr>
            <w:r>
              <w:rPr>
                <w:rFonts w:ascii="Calibri" w:hAnsi="Calibri"/>
                <w:b w:val="0"/>
                <w:i w:val="0"/>
                <w:sz w:val="14"/>
              </w:rPr>
              <w:t>XLPE/SWA/LSZH</w:t>
            </w:r>
          </w:p>
        </w:tc>
        <w:tc>
          <w:tcPr>
            <w:tcW w:type="dxa" w:w="759"/>
            <w:shd w:val="clear" w:color="auto" w:fill="FFFFFF"/>
          </w:tcPr>
          <w:p>
            <w:pPr>
              <w:spacing w:after="0"/>
              <w:jc w:val="center"/>
            </w:pPr>
            <w:r>
              <w:rPr>
                <w:rFonts w:ascii="Calibri" w:hAnsi="Calibri"/>
                <w:b w:val="0"/>
                <w:i w:val="0"/>
                <w:sz w:val="14"/>
              </w:rPr>
              <w:t>2.50</w:t>
            </w:r>
          </w:p>
        </w:tc>
        <w:tc>
          <w:tcPr>
            <w:tcW w:type="dxa" w:w="624"/>
            <w:shd w:val="clear" w:color="auto" w:fill="FFFFFF"/>
          </w:tcPr>
          <w:p>
            <w:pPr>
              <w:spacing w:after="0"/>
              <w:jc w:val="center"/>
            </w:pPr>
            <w:r>
              <w:rPr>
                <w:rFonts w:ascii="Calibri" w:hAnsi="Calibri"/>
                <w:b w:val="0"/>
                <w:i w:val="0"/>
                <w:sz w:val="14"/>
              </w:rPr>
              <w:t>7.76</w:t>
            </w:r>
          </w:p>
        </w:tc>
        <w:tc>
          <w:tcPr>
            <w:tcW w:type="dxa" w:w="624"/>
            <w:shd w:val="clear" w:color="auto" w:fill="FFFFFF"/>
          </w:tcPr>
          <w:p>
            <w:pPr>
              <w:spacing w:after="0"/>
              <w:jc w:val="center"/>
            </w:pPr>
            <w:r>
              <w:rPr>
                <w:rFonts w:ascii="Calibri" w:hAnsi="Calibri"/>
                <w:b w:val="0"/>
                <w:i w:val="0"/>
                <w:sz w:val="14"/>
              </w:rPr>
              <w:t>1.94</w:t>
            </w:r>
          </w:p>
        </w:tc>
        <w:tc>
          <w:tcPr>
            <w:tcW w:type="dxa" w:w="624"/>
            <w:shd w:val="clear" w:color="auto" w:fill="FFFFFF"/>
          </w:tcPr>
          <w:p>
            <w:pPr>
              <w:spacing w:after="0"/>
              <w:jc w:val="center"/>
            </w:pPr>
            <w:r>
              <w:rPr>
                <w:rFonts w:ascii="Calibri" w:hAnsi="Calibri"/>
                <w:b w:val="0"/>
                <w:i w:val="0"/>
                <w:sz w:val="14"/>
              </w:rPr>
              <w:t>7.76</w:t>
            </w:r>
          </w:p>
        </w:tc>
        <w:tc>
          <w:tcPr>
            <w:tcW w:type="dxa" w:w="624"/>
            <w:shd w:val="clear" w:color="auto" w:fill="FFFFFF"/>
          </w:tcPr>
          <w:p>
            <w:pPr>
              <w:spacing w:after="0"/>
              <w:jc w:val="center"/>
            </w:pPr>
            <w:r>
              <w:rPr>
                <w:rFonts w:ascii="Calibri" w:hAnsi="Calibri"/>
                <w:b w:val="0"/>
                <w:i w:val="0"/>
                <w:sz w:val="14"/>
              </w:rPr>
              <w:t>1.94</w:t>
            </w:r>
          </w:p>
        </w:tc>
        <w:tc>
          <w:tcPr>
            <w:tcW w:type="dxa" w:w="624"/>
            <w:shd w:val="clear" w:color="auto" w:fill="FFFFFF"/>
          </w:tcPr>
          <w:p>
            <w:pPr>
              <w:spacing w:after="0"/>
              <w:jc w:val="center"/>
            </w:pPr>
            <w:r>
              <w:rPr>
                <w:rFonts w:ascii="Calibri" w:hAnsi="Calibri"/>
                <w:b w:val="0"/>
                <w:i w:val="0"/>
                <w:sz w:val="14"/>
              </w:rPr>
              <w:t>-</w:t>
            </w:r>
          </w:p>
        </w:tc>
        <w:tc>
          <w:tcPr>
            <w:tcW w:type="dxa" w:w="678"/>
            <w:shd w:val="clear" w:color="auto" w:fill="FFFFFF"/>
          </w:tcPr>
          <w:p>
            <w:pPr>
              <w:spacing w:after="0"/>
              <w:jc w:val="center"/>
            </w:pPr>
            <w:r>
              <w:rPr>
                <w:rFonts w:ascii="Calibri" w:hAnsi="Calibri"/>
                <w:b/>
                <w:i w:val="0"/>
                <w:sz w:val="14"/>
              </w:rPr>
              <w:t>ok</w:t>
            </w:r>
          </w:p>
        </w:tc>
      </w:tr>
      <w:tr>
        <w:tc>
          <w:tcPr>
            <w:tcW w:type="dxa" w:w="1057"/>
            <w:shd w:val="clear" w:color="auto" w:fill="EFF9FC"/>
          </w:tcPr>
          <w:p>
            <w:pPr>
              <w:spacing w:after="0"/>
              <w:jc w:val="left"/>
            </w:pPr>
            <w:r>
              <w:rPr>
                <w:rFonts w:ascii="Calibri" w:hAnsi="Calibri"/>
                <w:b w:val="0"/>
                <w:i w:val="0"/>
                <w:sz w:val="14"/>
              </w:rPr>
              <w:t>SMDB-L10</w:t>
            </w:r>
          </w:p>
        </w:tc>
        <w:tc>
          <w:tcPr>
            <w:tcW w:type="dxa" w:w="1057"/>
            <w:shd w:val="clear" w:color="auto" w:fill="EFF9FC"/>
          </w:tcPr>
          <w:p>
            <w:pPr>
              <w:spacing w:after="0"/>
              <w:jc w:val="left"/>
            </w:pPr>
            <w:r>
              <w:rPr>
                <w:rFonts w:ascii="Calibri" w:hAnsi="Calibri"/>
                <w:b w:val="0"/>
                <w:i w:val="0"/>
                <w:sz w:val="14"/>
              </w:rPr>
              <w:t>DB-L10-LP</w:t>
            </w:r>
          </w:p>
        </w:tc>
        <w:tc>
          <w:tcPr>
            <w:tcW w:type="dxa" w:w="624"/>
            <w:shd w:val="clear" w:color="auto" w:fill="EFF9FC"/>
          </w:tcPr>
          <w:p>
            <w:pPr>
              <w:spacing w:after="0"/>
              <w:jc w:val="center"/>
            </w:pPr>
            <w:r>
              <w:rPr>
                <w:rFonts w:ascii="Calibri" w:hAnsi="Calibri"/>
                <w:b w:val="0"/>
                <w:i w:val="0"/>
                <w:sz w:val="14"/>
              </w:rPr>
              <w:t>28.0</w:t>
            </w:r>
          </w:p>
        </w:tc>
        <w:tc>
          <w:tcPr>
            <w:tcW w:type="dxa" w:w="732"/>
            <w:shd w:val="clear" w:color="auto" w:fill="EFF9FC"/>
          </w:tcPr>
          <w:p>
            <w:pPr>
              <w:spacing w:after="0"/>
              <w:jc w:val="center"/>
            </w:pPr>
            <w:r>
              <w:rPr>
                <w:rFonts w:ascii="Calibri" w:hAnsi="Calibri"/>
                <w:b w:val="0"/>
                <w:i w:val="0"/>
                <w:sz w:val="14"/>
              </w:rPr>
              <w:t>44.9</w:t>
            </w:r>
          </w:p>
        </w:tc>
        <w:tc>
          <w:tcPr>
            <w:tcW w:type="dxa" w:w="624"/>
            <w:shd w:val="clear" w:color="auto" w:fill="EFF9FC"/>
          </w:tcPr>
          <w:p>
            <w:pPr>
              <w:spacing w:after="0"/>
              <w:jc w:val="center"/>
            </w:pPr>
            <w:r>
              <w:rPr>
                <w:rFonts w:ascii="Calibri" w:hAnsi="Calibri"/>
                <w:b w:val="0"/>
                <w:i w:val="0"/>
                <w:sz w:val="14"/>
              </w:rPr>
              <w:t>50</w:t>
            </w:r>
          </w:p>
        </w:tc>
        <w:tc>
          <w:tcPr>
            <w:tcW w:type="dxa" w:w="651"/>
            <w:shd w:val="clear" w:color="auto" w:fill="EFF9FC"/>
          </w:tcPr>
          <w:p>
            <w:pPr>
              <w:spacing w:after="0"/>
              <w:jc w:val="center"/>
            </w:pPr>
            <w:r>
              <w:rPr>
                <w:rFonts w:ascii="Calibri" w:hAnsi="Calibri"/>
                <w:b w:val="0"/>
                <w:i w:val="0"/>
                <w:sz w:val="14"/>
              </w:rPr>
              <w:t>20.0</w:t>
            </w:r>
          </w:p>
        </w:tc>
        <w:tc>
          <w:tcPr>
            <w:tcW w:type="dxa" w:w="1139"/>
            <w:shd w:val="clear" w:color="auto" w:fill="EFF9FC"/>
          </w:tcPr>
          <w:p>
            <w:pPr>
              <w:spacing w:after="0"/>
              <w:jc w:val="center"/>
            </w:pPr>
            <w:r>
              <w:rPr>
                <w:rFonts w:ascii="Calibri" w:hAnsi="Calibri"/>
                <w:b w:val="0"/>
                <w:i w:val="0"/>
                <w:sz w:val="14"/>
              </w:rPr>
              <w:t>1x4C 10</w:t>
            </w:r>
          </w:p>
        </w:tc>
        <w:tc>
          <w:tcPr>
            <w:tcW w:type="dxa" w:w="488"/>
            <w:shd w:val="clear" w:color="auto" w:fill="EFF9FC"/>
          </w:tcPr>
          <w:p>
            <w:pPr>
              <w:spacing w:after="0"/>
              <w:jc w:val="center"/>
            </w:pPr>
            <w:r>
              <w:rPr>
                <w:rFonts w:ascii="Calibri" w:hAnsi="Calibri"/>
                <w:b w:val="0"/>
                <w:i w:val="0"/>
                <w:sz w:val="14"/>
              </w:rPr>
              <w:t>1</w:t>
            </w:r>
          </w:p>
        </w:tc>
        <w:tc>
          <w:tcPr>
            <w:tcW w:type="dxa" w:w="841"/>
            <w:shd w:val="clear" w:color="auto" w:fill="EFF9FC"/>
          </w:tcPr>
          <w:p>
            <w:pPr>
              <w:spacing w:after="0"/>
              <w:jc w:val="center"/>
            </w:pPr>
            <w:r>
              <w:rPr>
                <w:rFonts w:ascii="Calibri" w:hAnsi="Calibri"/>
                <w:b w:val="0"/>
                <w:i w:val="0"/>
                <w:sz w:val="14"/>
              </w:rPr>
              <w:t>1x1C 10</w:t>
            </w:r>
          </w:p>
        </w:tc>
        <w:tc>
          <w:tcPr>
            <w:tcW w:type="dxa" w:w="1193"/>
            <w:shd w:val="clear" w:color="auto" w:fill="EFF9FC"/>
          </w:tcPr>
          <w:p>
            <w:pPr>
              <w:spacing w:after="0"/>
              <w:jc w:val="center"/>
            </w:pPr>
            <w:r>
              <w:rPr>
                <w:rFonts w:ascii="Calibri" w:hAnsi="Calibri"/>
                <w:b w:val="0"/>
                <w:i w:val="0"/>
                <w:sz w:val="14"/>
              </w:rPr>
              <w:t>XLPE/SWA/LSZH</w:t>
            </w:r>
          </w:p>
        </w:tc>
        <w:tc>
          <w:tcPr>
            <w:tcW w:type="dxa" w:w="759"/>
            <w:shd w:val="clear" w:color="auto" w:fill="EFF9FC"/>
          </w:tcPr>
          <w:p>
            <w:pPr>
              <w:spacing w:after="0"/>
              <w:jc w:val="center"/>
            </w:pPr>
            <w:r>
              <w:rPr>
                <w:rFonts w:ascii="Calibri" w:hAnsi="Calibri"/>
                <w:b w:val="0"/>
                <w:i w:val="0"/>
                <w:sz w:val="14"/>
              </w:rPr>
              <w:t>4.00</w:t>
            </w:r>
          </w:p>
        </w:tc>
        <w:tc>
          <w:tcPr>
            <w:tcW w:type="dxa" w:w="624"/>
            <w:shd w:val="clear" w:color="auto" w:fill="EFF9FC"/>
          </w:tcPr>
          <w:p>
            <w:pPr>
              <w:spacing w:after="0"/>
              <w:jc w:val="center"/>
            </w:pPr>
            <w:r>
              <w:rPr>
                <w:rFonts w:ascii="Calibri" w:hAnsi="Calibri"/>
                <w:b w:val="0"/>
                <w:i w:val="0"/>
                <w:sz w:val="14"/>
              </w:rPr>
              <w:t>3.59</w:t>
            </w:r>
          </w:p>
        </w:tc>
        <w:tc>
          <w:tcPr>
            <w:tcW w:type="dxa" w:w="624"/>
            <w:shd w:val="clear" w:color="auto" w:fill="EFF9FC"/>
          </w:tcPr>
          <w:p>
            <w:pPr>
              <w:spacing w:after="0"/>
              <w:jc w:val="center"/>
            </w:pPr>
            <w:r>
              <w:rPr>
                <w:rFonts w:ascii="Calibri" w:hAnsi="Calibri"/>
                <w:b w:val="0"/>
                <w:i w:val="0"/>
                <w:sz w:val="14"/>
              </w:rPr>
              <w:t>0.90</w:t>
            </w:r>
          </w:p>
        </w:tc>
        <w:tc>
          <w:tcPr>
            <w:tcW w:type="dxa" w:w="624"/>
            <w:shd w:val="clear" w:color="auto" w:fill="EFF9FC"/>
          </w:tcPr>
          <w:p>
            <w:pPr>
              <w:spacing w:after="0"/>
              <w:jc w:val="center"/>
            </w:pPr>
            <w:r>
              <w:rPr>
                <w:rFonts w:ascii="Calibri" w:hAnsi="Calibri"/>
                <w:b w:val="0"/>
                <w:i w:val="0"/>
                <w:sz w:val="14"/>
              </w:rPr>
              <w:t>11.36</w:t>
            </w:r>
          </w:p>
        </w:tc>
        <w:tc>
          <w:tcPr>
            <w:tcW w:type="dxa" w:w="624"/>
            <w:shd w:val="clear" w:color="auto" w:fill="EFF9FC"/>
          </w:tcPr>
          <w:p>
            <w:pPr>
              <w:spacing w:after="0"/>
              <w:jc w:val="center"/>
            </w:pPr>
            <w:r>
              <w:rPr>
                <w:rFonts w:ascii="Calibri" w:hAnsi="Calibri"/>
                <w:b w:val="0"/>
                <w:i w:val="0"/>
                <w:sz w:val="14"/>
              </w:rPr>
              <w:t>2.84</w:t>
            </w:r>
          </w:p>
        </w:tc>
        <w:tc>
          <w:tcPr>
            <w:tcW w:type="dxa" w:w="624"/>
            <w:shd w:val="clear" w:color="auto" w:fill="EFF9FC"/>
          </w:tcPr>
          <w:p>
            <w:pPr>
              <w:spacing w:after="0"/>
              <w:jc w:val="center"/>
            </w:pPr>
            <w:r>
              <w:rPr>
                <w:rFonts w:ascii="Calibri" w:hAnsi="Calibri"/>
                <w:b w:val="0"/>
                <w:i w:val="0"/>
                <w:sz w:val="14"/>
              </w:rPr>
              <w:t>-</w:t>
            </w:r>
          </w:p>
        </w:tc>
        <w:tc>
          <w:tcPr>
            <w:tcW w:type="dxa" w:w="678"/>
            <w:shd w:val="clear" w:color="auto" w:fill="EFF9FC"/>
          </w:tcPr>
          <w:p>
            <w:pPr>
              <w:spacing w:after="0"/>
              <w:jc w:val="center"/>
            </w:pPr>
            <w:r>
              <w:rPr>
                <w:rFonts w:ascii="Calibri" w:hAnsi="Calibri"/>
                <w:b/>
                <w:i w:val="0"/>
                <w:sz w:val="14"/>
              </w:rPr>
              <w:t>ok</w:t>
            </w:r>
          </w:p>
        </w:tc>
      </w:tr>
      <w:tr>
        <w:tc>
          <w:tcPr>
            <w:tcW w:type="dxa" w:w="1057"/>
            <w:shd w:val="clear" w:color="auto" w:fill="FFFFFF"/>
          </w:tcPr>
          <w:p>
            <w:pPr>
              <w:spacing w:after="0"/>
              <w:jc w:val="left"/>
            </w:pPr>
            <w:r>
              <w:rPr>
                <w:rFonts w:ascii="Calibri" w:hAnsi="Calibri"/>
                <w:b w:val="0"/>
                <w:i w:val="0"/>
                <w:sz w:val="14"/>
              </w:rPr>
              <w:t>SMDB-L10</w:t>
            </w:r>
          </w:p>
        </w:tc>
        <w:tc>
          <w:tcPr>
            <w:tcW w:type="dxa" w:w="1057"/>
            <w:shd w:val="clear" w:color="auto" w:fill="FFFFFF"/>
          </w:tcPr>
          <w:p>
            <w:pPr>
              <w:spacing w:after="0"/>
              <w:jc w:val="left"/>
            </w:pPr>
            <w:r>
              <w:rPr>
                <w:rFonts w:ascii="Calibri" w:hAnsi="Calibri"/>
                <w:b w:val="0"/>
                <w:i w:val="0"/>
                <w:sz w:val="14"/>
              </w:rPr>
              <w:t>DB-L10-AC</w:t>
            </w:r>
          </w:p>
        </w:tc>
        <w:tc>
          <w:tcPr>
            <w:tcW w:type="dxa" w:w="624"/>
            <w:shd w:val="clear" w:color="auto" w:fill="FFFFFF"/>
          </w:tcPr>
          <w:p>
            <w:pPr>
              <w:spacing w:after="0"/>
              <w:jc w:val="center"/>
            </w:pPr>
            <w:r>
              <w:rPr>
                <w:rFonts w:ascii="Calibri" w:hAnsi="Calibri"/>
                <w:b w:val="0"/>
                <w:i w:val="0"/>
                <w:sz w:val="14"/>
              </w:rPr>
              <w:t>16.0</w:t>
            </w:r>
          </w:p>
        </w:tc>
        <w:tc>
          <w:tcPr>
            <w:tcW w:type="dxa" w:w="732"/>
            <w:shd w:val="clear" w:color="auto" w:fill="FFFFFF"/>
          </w:tcPr>
          <w:p>
            <w:pPr>
              <w:spacing w:after="0"/>
              <w:jc w:val="center"/>
            </w:pPr>
            <w:r>
              <w:rPr>
                <w:rFonts w:ascii="Calibri" w:hAnsi="Calibri"/>
                <w:b w:val="0"/>
                <w:i w:val="0"/>
                <w:sz w:val="14"/>
              </w:rPr>
              <w:t>25.7</w:t>
            </w:r>
          </w:p>
        </w:tc>
        <w:tc>
          <w:tcPr>
            <w:tcW w:type="dxa" w:w="624"/>
            <w:shd w:val="clear" w:color="auto" w:fill="FFFFFF"/>
          </w:tcPr>
          <w:p>
            <w:pPr>
              <w:spacing w:after="0"/>
              <w:jc w:val="center"/>
            </w:pPr>
            <w:r>
              <w:rPr>
                <w:rFonts w:ascii="Calibri" w:hAnsi="Calibri"/>
                <w:b w:val="0"/>
                <w:i w:val="0"/>
                <w:sz w:val="14"/>
              </w:rPr>
              <w:t>32</w:t>
            </w:r>
          </w:p>
        </w:tc>
        <w:tc>
          <w:tcPr>
            <w:tcW w:type="dxa" w:w="651"/>
            <w:shd w:val="clear" w:color="auto" w:fill="FFFFFF"/>
          </w:tcPr>
          <w:p>
            <w:pPr>
              <w:spacing w:after="0"/>
              <w:jc w:val="center"/>
            </w:pPr>
            <w:r>
              <w:rPr>
                <w:rFonts w:ascii="Calibri" w:hAnsi="Calibri"/>
                <w:b w:val="0"/>
                <w:i w:val="0"/>
                <w:sz w:val="14"/>
              </w:rPr>
              <w:t>25.0</w:t>
            </w:r>
          </w:p>
        </w:tc>
        <w:tc>
          <w:tcPr>
            <w:tcW w:type="dxa" w:w="1139"/>
            <w:shd w:val="clear" w:color="auto" w:fill="FFFFFF"/>
          </w:tcPr>
          <w:p>
            <w:pPr>
              <w:spacing w:after="0"/>
              <w:jc w:val="center"/>
            </w:pPr>
            <w:r>
              <w:rPr>
                <w:rFonts w:ascii="Calibri" w:hAnsi="Calibri"/>
                <w:b w:val="0"/>
                <w:i w:val="0"/>
                <w:sz w:val="14"/>
              </w:rPr>
              <w:t>1x4C 4</w:t>
            </w:r>
          </w:p>
        </w:tc>
        <w:tc>
          <w:tcPr>
            <w:tcW w:type="dxa" w:w="488"/>
            <w:shd w:val="clear" w:color="auto" w:fill="FFFFFF"/>
          </w:tcPr>
          <w:p>
            <w:pPr>
              <w:spacing w:after="0"/>
              <w:jc w:val="center"/>
            </w:pPr>
            <w:r>
              <w:rPr>
                <w:rFonts w:ascii="Calibri" w:hAnsi="Calibri"/>
                <w:b w:val="0"/>
                <w:i w:val="0"/>
                <w:sz w:val="14"/>
              </w:rPr>
              <w:t>1</w:t>
            </w:r>
          </w:p>
        </w:tc>
        <w:tc>
          <w:tcPr>
            <w:tcW w:type="dxa" w:w="841"/>
            <w:shd w:val="clear" w:color="auto" w:fill="FFFFFF"/>
          </w:tcPr>
          <w:p>
            <w:pPr>
              <w:spacing w:after="0"/>
              <w:jc w:val="center"/>
            </w:pPr>
            <w:r>
              <w:rPr>
                <w:rFonts w:ascii="Calibri" w:hAnsi="Calibri"/>
                <w:b w:val="0"/>
                <w:i w:val="0"/>
                <w:sz w:val="14"/>
              </w:rPr>
              <w:t>1x1C 4</w:t>
            </w:r>
          </w:p>
        </w:tc>
        <w:tc>
          <w:tcPr>
            <w:tcW w:type="dxa" w:w="1193"/>
            <w:shd w:val="clear" w:color="auto" w:fill="FFFFFF"/>
          </w:tcPr>
          <w:p>
            <w:pPr>
              <w:spacing w:after="0"/>
              <w:jc w:val="center"/>
            </w:pPr>
            <w:r>
              <w:rPr>
                <w:rFonts w:ascii="Calibri" w:hAnsi="Calibri"/>
                <w:b w:val="0"/>
                <w:i w:val="0"/>
                <w:sz w:val="14"/>
              </w:rPr>
              <w:t>XLPE/SWA/LSZH</w:t>
            </w:r>
          </w:p>
        </w:tc>
        <w:tc>
          <w:tcPr>
            <w:tcW w:type="dxa" w:w="759"/>
            <w:shd w:val="clear" w:color="auto" w:fill="FFFFFF"/>
          </w:tcPr>
          <w:p>
            <w:pPr>
              <w:spacing w:after="0"/>
              <w:jc w:val="center"/>
            </w:pPr>
            <w:r>
              <w:rPr>
                <w:rFonts w:ascii="Calibri" w:hAnsi="Calibri"/>
                <w:b w:val="0"/>
                <w:i w:val="0"/>
                <w:sz w:val="14"/>
              </w:rPr>
              <w:t>10.0</w:t>
            </w:r>
          </w:p>
        </w:tc>
        <w:tc>
          <w:tcPr>
            <w:tcW w:type="dxa" w:w="624"/>
            <w:shd w:val="clear" w:color="auto" w:fill="FFFFFF"/>
          </w:tcPr>
          <w:p>
            <w:pPr>
              <w:spacing w:after="0"/>
              <w:jc w:val="center"/>
            </w:pPr>
            <w:r>
              <w:rPr>
                <w:rFonts w:ascii="Calibri" w:hAnsi="Calibri"/>
                <w:b w:val="0"/>
                <w:i w:val="0"/>
                <w:sz w:val="14"/>
              </w:rPr>
              <w:t>6.42</w:t>
            </w:r>
          </w:p>
        </w:tc>
        <w:tc>
          <w:tcPr>
            <w:tcW w:type="dxa" w:w="624"/>
            <w:shd w:val="clear" w:color="auto" w:fill="FFFFFF"/>
          </w:tcPr>
          <w:p>
            <w:pPr>
              <w:spacing w:after="0"/>
              <w:jc w:val="center"/>
            </w:pPr>
            <w:r>
              <w:rPr>
                <w:rFonts w:ascii="Calibri" w:hAnsi="Calibri"/>
                <w:b w:val="0"/>
                <w:i w:val="0"/>
                <w:sz w:val="14"/>
              </w:rPr>
              <w:t>1.60</w:t>
            </w:r>
          </w:p>
        </w:tc>
        <w:tc>
          <w:tcPr>
            <w:tcW w:type="dxa" w:w="624"/>
            <w:shd w:val="clear" w:color="auto" w:fill="FFFFFF"/>
          </w:tcPr>
          <w:p>
            <w:pPr>
              <w:spacing w:after="0"/>
              <w:jc w:val="center"/>
            </w:pPr>
            <w:r>
              <w:rPr>
                <w:rFonts w:ascii="Calibri" w:hAnsi="Calibri"/>
                <w:b w:val="0"/>
                <w:i w:val="0"/>
                <w:sz w:val="14"/>
              </w:rPr>
              <w:t>14.18</w:t>
            </w:r>
          </w:p>
        </w:tc>
        <w:tc>
          <w:tcPr>
            <w:tcW w:type="dxa" w:w="624"/>
            <w:shd w:val="clear" w:color="auto" w:fill="FFFFFF"/>
          </w:tcPr>
          <w:p>
            <w:pPr>
              <w:spacing w:after="0"/>
              <w:jc w:val="center"/>
            </w:pPr>
            <w:r>
              <w:rPr>
                <w:rFonts w:ascii="Calibri" w:hAnsi="Calibri"/>
                <w:b w:val="0"/>
                <w:i w:val="0"/>
                <w:sz w:val="14"/>
              </w:rPr>
              <w:t>3.55</w:t>
            </w:r>
          </w:p>
        </w:tc>
        <w:tc>
          <w:tcPr>
            <w:tcW w:type="dxa" w:w="624"/>
            <w:shd w:val="clear" w:color="auto" w:fill="FFFFFF"/>
          </w:tcPr>
          <w:p>
            <w:pPr>
              <w:spacing w:after="0"/>
              <w:jc w:val="center"/>
            </w:pPr>
            <w:r>
              <w:rPr>
                <w:rFonts w:ascii="Calibri" w:hAnsi="Calibri"/>
                <w:b w:val="0"/>
                <w:i w:val="0"/>
                <w:sz w:val="14"/>
              </w:rPr>
              <w:t>-</w:t>
            </w:r>
          </w:p>
        </w:tc>
        <w:tc>
          <w:tcPr>
            <w:tcW w:type="dxa" w:w="678"/>
            <w:shd w:val="clear" w:color="auto" w:fill="FFFFFF"/>
          </w:tcPr>
          <w:p>
            <w:pPr>
              <w:spacing w:after="0"/>
              <w:jc w:val="center"/>
            </w:pPr>
            <w:r>
              <w:rPr>
                <w:rFonts w:ascii="Calibri" w:hAnsi="Calibri"/>
                <w:b/>
                <w:i w:val="0"/>
                <w:sz w:val="14"/>
              </w:rPr>
              <w:t>ok</w:t>
            </w:r>
          </w:p>
        </w:tc>
      </w:tr>
      <w:tr>
        <w:tc>
          <w:tcPr>
            <w:tcW w:type="dxa" w:w="1057"/>
            <w:shd w:val="clear" w:color="auto" w:fill="EFF9FC"/>
          </w:tcPr>
          <w:p>
            <w:pPr>
              <w:spacing w:after="0"/>
              <w:jc w:val="left"/>
            </w:pPr>
            <w:r>
              <w:rPr>
                <w:rFonts w:ascii="Calibri" w:hAnsi="Calibri"/>
                <w:b w:val="0"/>
                <w:i w:val="0"/>
                <w:sz w:val="14"/>
              </w:rPr>
              <w:t>MDB-01</w:t>
            </w:r>
          </w:p>
        </w:tc>
        <w:tc>
          <w:tcPr>
            <w:tcW w:type="dxa" w:w="1057"/>
            <w:shd w:val="clear" w:color="auto" w:fill="EFF9FC"/>
          </w:tcPr>
          <w:p>
            <w:pPr>
              <w:spacing w:after="0"/>
              <w:jc w:val="left"/>
            </w:pPr>
            <w:r>
              <w:rPr>
                <w:rFonts w:ascii="Calibri" w:hAnsi="Calibri"/>
                <w:b w:val="0"/>
                <w:i w:val="0"/>
                <w:sz w:val="14"/>
              </w:rPr>
              <w:t>SMDB-RF</w:t>
            </w:r>
          </w:p>
        </w:tc>
        <w:tc>
          <w:tcPr>
            <w:tcW w:type="dxa" w:w="624"/>
            <w:shd w:val="clear" w:color="auto" w:fill="EFF9FC"/>
          </w:tcPr>
          <w:p>
            <w:pPr>
              <w:spacing w:after="0"/>
              <w:jc w:val="center"/>
            </w:pPr>
            <w:r>
              <w:rPr>
                <w:rFonts w:ascii="Calibri" w:hAnsi="Calibri"/>
                <w:b w:val="0"/>
                <w:i w:val="0"/>
                <w:sz w:val="14"/>
              </w:rPr>
              <w:t>77.0</w:t>
            </w:r>
          </w:p>
        </w:tc>
        <w:tc>
          <w:tcPr>
            <w:tcW w:type="dxa" w:w="732"/>
            <w:shd w:val="clear" w:color="auto" w:fill="EFF9FC"/>
          </w:tcPr>
          <w:p>
            <w:pPr>
              <w:spacing w:after="0"/>
              <w:jc w:val="center"/>
            </w:pPr>
            <w:r>
              <w:rPr>
                <w:rFonts w:ascii="Calibri" w:hAnsi="Calibri"/>
                <w:b w:val="0"/>
                <w:i w:val="0"/>
                <w:sz w:val="14"/>
              </w:rPr>
              <w:t>105.0</w:t>
            </w:r>
          </w:p>
        </w:tc>
        <w:tc>
          <w:tcPr>
            <w:tcW w:type="dxa" w:w="624"/>
            <w:shd w:val="clear" w:color="auto" w:fill="EFF9FC"/>
          </w:tcPr>
          <w:p>
            <w:pPr>
              <w:spacing w:after="0"/>
              <w:jc w:val="center"/>
            </w:pPr>
            <w:r>
              <w:rPr>
                <w:rFonts w:ascii="Calibri" w:hAnsi="Calibri"/>
                <w:b w:val="0"/>
                <w:i w:val="0"/>
                <w:sz w:val="14"/>
              </w:rPr>
              <w:t>125</w:t>
            </w:r>
          </w:p>
        </w:tc>
        <w:tc>
          <w:tcPr>
            <w:tcW w:type="dxa" w:w="651"/>
            <w:shd w:val="clear" w:color="auto" w:fill="EFF9FC"/>
          </w:tcPr>
          <w:p>
            <w:pPr>
              <w:spacing w:after="0"/>
              <w:jc w:val="center"/>
            </w:pPr>
            <w:r>
              <w:rPr>
                <w:rFonts w:ascii="Calibri" w:hAnsi="Calibri"/>
                <w:b w:val="0"/>
                <w:i w:val="0"/>
                <w:sz w:val="14"/>
              </w:rPr>
              <w:t>95.0</w:t>
            </w:r>
          </w:p>
        </w:tc>
        <w:tc>
          <w:tcPr>
            <w:tcW w:type="dxa" w:w="1139"/>
            <w:shd w:val="clear" w:color="auto" w:fill="EFF9FC"/>
          </w:tcPr>
          <w:p>
            <w:pPr>
              <w:spacing w:after="0"/>
              <w:jc w:val="center"/>
            </w:pPr>
            <w:r>
              <w:rPr>
                <w:rFonts w:ascii="Calibri" w:hAnsi="Calibri"/>
                <w:b w:val="0"/>
                <w:i w:val="0"/>
                <w:sz w:val="14"/>
              </w:rPr>
              <w:t>1x4C 50</w:t>
            </w:r>
          </w:p>
        </w:tc>
        <w:tc>
          <w:tcPr>
            <w:tcW w:type="dxa" w:w="488"/>
            <w:shd w:val="clear" w:color="auto" w:fill="EFF9FC"/>
          </w:tcPr>
          <w:p>
            <w:pPr>
              <w:spacing w:after="0"/>
              <w:jc w:val="center"/>
            </w:pPr>
            <w:r>
              <w:rPr>
                <w:rFonts w:ascii="Calibri" w:hAnsi="Calibri"/>
                <w:b w:val="0"/>
                <w:i w:val="0"/>
                <w:sz w:val="14"/>
              </w:rPr>
              <w:t>1</w:t>
            </w:r>
          </w:p>
        </w:tc>
        <w:tc>
          <w:tcPr>
            <w:tcW w:type="dxa" w:w="841"/>
            <w:shd w:val="clear" w:color="auto" w:fill="EFF9FC"/>
          </w:tcPr>
          <w:p>
            <w:pPr>
              <w:spacing w:after="0"/>
              <w:jc w:val="center"/>
            </w:pPr>
            <w:r>
              <w:rPr>
                <w:rFonts w:ascii="Calibri" w:hAnsi="Calibri"/>
                <w:b w:val="0"/>
                <w:i w:val="0"/>
                <w:sz w:val="14"/>
              </w:rPr>
              <w:t>1x1C 25</w:t>
            </w:r>
          </w:p>
        </w:tc>
        <w:tc>
          <w:tcPr>
            <w:tcW w:type="dxa" w:w="1193"/>
            <w:shd w:val="clear" w:color="auto" w:fill="EFF9FC"/>
          </w:tcPr>
          <w:p>
            <w:pPr>
              <w:spacing w:after="0"/>
              <w:jc w:val="center"/>
            </w:pPr>
            <w:r>
              <w:rPr>
                <w:rFonts w:ascii="Calibri" w:hAnsi="Calibri"/>
                <w:b w:val="0"/>
                <w:i w:val="0"/>
                <w:sz w:val="14"/>
              </w:rPr>
              <w:t>XLPE/SWA/LSZH</w:t>
            </w:r>
          </w:p>
        </w:tc>
        <w:tc>
          <w:tcPr>
            <w:tcW w:type="dxa" w:w="759"/>
            <w:shd w:val="clear" w:color="auto" w:fill="EFF9FC"/>
          </w:tcPr>
          <w:p>
            <w:pPr>
              <w:spacing w:after="0"/>
              <w:jc w:val="center"/>
            </w:pPr>
            <w:r>
              <w:rPr>
                <w:rFonts w:ascii="Calibri" w:hAnsi="Calibri"/>
                <w:b w:val="0"/>
                <w:i w:val="0"/>
                <w:sz w:val="14"/>
              </w:rPr>
              <w:t>0.83</w:t>
            </w:r>
          </w:p>
        </w:tc>
        <w:tc>
          <w:tcPr>
            <w:tcW w:type="dxa" w:w="624"/>
            <w:shd w:val="clear" w:color="auto" w:fill="EFF9FC"/>
          </w:tcPr>
          <w:p>
            <w:pPr>
              <w:spacing w:after="0"/>
              <w:jc w:val="center"/>
            </w:pPr>
            <w:r>
              <w:rPr>
                <w:rFonts w:ascii="Calibri" w:hAnsi="Calibri"/>
                <w:b w:val="0"/>
                <w:i w:val="0"/>
                <w:sz w:val="14"/>
              </w:rPr>
              <w:t>8.30</w:t>
            </w:r>
          </w:p>
        </w:tc>
        <w:tc>
          <w:tcPr>
            <w:tcW w:type="dxa" w:w="624"/>
            <w:shd w:val="clear" w:color="auto" w:fill="EFF9FC"/>
          </w:tcPr>
          <w:p>
            <w:pPr>
              <w:spacing w:after="0"/>
              <w:jc w:val="center"/>
            </w:pPr>
            <w:r>
              <w:rPr>
                <w:rFonts w:ascii="Calibri" w:hAnsi="Calibri"/>
                <w:b w:val="0"/>
                <w:i w:val="0"/>
                <w:sz w:val="14"/>
              </w:rPr>
              <w:t>2.08</w:t>
            </w:r>
          </w:p>
        </w:tc>
        <w:tc>
          <w:tcPr>
            <w:tcW w:type="dxa" w:w="624"/>
            <w:shd w:val="clear" w:color="auto" w:fill="EFF9FC"/>
          </w:tcPr>
          <w:p>
            <w:pPr>
              <w:spacing w:after="0"/>
              <w:jc w:val="center"/>
            </w:pPr>
            <w:r>
              <w:rPr>
                <w:rFonts w:ascii="Calibri" w:hAnsi="Calibri"/>
                <w:b w:val="0"/>
                <w:i w:val="0"/>
                <w:sz w:val="14"/>
              </w:rPr>
              <w:t>8.30</w:t>
            </w:r>
          </w:p>
        </w:tc>
        <w:tc>
          <w:tcPr>
            <w:tcW w:type="dxa" w:w="624"/>
            <w:shd w:val="clear" w:color="auto" w:fill="EFF9FC"/>
          </w:tcPr>
          <w:p>
            <w:pPr>
              <w:spacing w:after="0"/>
              <w:jc w:val="center"/>
            </w:pPr>
            <w:r>
              <w:rPr>
                <w:rFonts w:ascii="Calibri" w:hAnsi="Calibri"/>
                <w:b w:val="0"/>
                <w:i w:val="0"/>
                <w:sz w:val="14"/>
              </w:rPr>
              <w:t>2.08</w:t>
            </w:r>
          </w:p>
        </w:tc>
        <w:tc>
          <w:tcPr>
            <w:tcW w:type="dxa" w:w="624"/>
            <w:shd w:val="clear" w:color="auto" w:fill="EFF9FC"/>
          </w:tcPr>
          <w:p>
            <w:pPr>
              <w:spacing w:after="0"/>
              <w:jc w:val="center"/>
            </w:pPr>
            <w:r>
              <w:rPr>
                <w:rFonts w:ascii="Calibri" w:hAnsi="Calibri"/>
                <w:b w:val="0"/>
                <w:i w:val="0"/>
                <w:sz w:val="14"/>
              </w:rPr>
              <w:t>-</w:t>
            </w:r>
          </w:p>
        </w:tc>
        <w:tc>
          <w:tcPr>
            <w:tcW w:type="dxa" w:w="678"/>
            <w:shd w:val="clear" w:color="auto" w:fill="EFF9FC"/>
          </w:tcPr>
          <w:p>
            <w:pPr>
              <w:spacing w:after="0"/>
              <w:jc w:val="center"/>
            </w:pPr>
            <w:r>
              <w:rPr>
                <w:rFonts w:ascii="Calibri" w:hAnsi="Calibri"/>
                <w:b/>
                <w:i w:val="0"/>
                <w:sz w:val="14"/>
              </w:rPr>
              <w:t>ok</w:t>
            </w:r>
          </w:p>
        </w:tc>
      </w:tr>
      <w:tr>
        <w:tc>
          <w:tcPr>
            <w:tcW w:type="dxa" w:w="1057"/>
            <w:shd w:val="clear" w:color="auto" w:fill="FFFFFF"/>
          </w:tcPr>
          <w:p>
            <w:pPr>
              <w:spacing w:after="0"/>
              <w:jc w:val="left"/>
            </w:pPr>
            <w:r>
              <w:rPr>
                <w:rFonts w:ascii="Calibri" w:hAnsi="Calibri"/>
                <w:b w:val="0"/>
                <w:i w:val="0"/>
                <w:sz w:val="14"/>
              </w:rPr>
              <w:t>SMDB-RF</w:t>
            </w:r>
          </w:p>
        </w:tc>
        <w:tc>
          <w:tcPr>
            <w:tcW w:type="dxa" w:w="1057"/>
            <w:shd w:val="clear" w:color="auto" w:fill="FFFFFF"/>
          </w:tcPr>
          <w:p>
            <w:pPr>
              <w:spacing w:after="0"/>
              <w:jc w:val="left"/>
            </w:pPr>
            <w:r>
              <w:rPr>
                <w:rFonts w:ascii="Calibri" w:hAnsi="Calibri"/>
                <w:b w:val="0"/>
                <w:i w:val="0"/>
                <w:sz w:val="14"/>
              </w:rPr>
              <w:t>DB-RF-AHU</w:t>
            </w:r>
          </w:p>
        </w:tc>
        <w:tc>
          <w:tcPr>
            <w:tcW w:type="dxa" w:w="624"/>
            <w:shd w:val="clear" w:color="auto" w:fill="FFFFFF"/>
          </w:tcPr>
          <w:p>
            <w:pPr>
              <w:spacing w:after="0"/>
              <w:jc w:val="center"/>
            </w:pPr>
            <w:r>
              <w:rPr>
                <w:rFonts w:ascii="Calibri" w:hAnsi="Calibri"/>
                <w:b w:val="0"/>
                <w:i w:val="0"/>
                <w:sz w:val="14"/>
              </w:rPr>
              <w:t>55.0</w:t>
            </w:r>
          </w:p>
        </w:tc>
        <w:tc>
          <w:tcPr>
            <w:tcW w:type="dxa" w:w="732"/>
            <w:shd w:val="clear" w:color="auto" w:fill="FFFFFF"/>
          </w:tcPr>
          <w:p>
            <w:pPr>
              <w:spacing w:after="0"/>
              <w:jc w:val="center"/>
            </w:pPr>
            <w:r>
              <w:rPr>
                <w:rFonts w:ascii="Calibri" w:hAnsi="Calibri"/>
                <w:b w:val="0"/>
                <w:i w:val="0"/>
                <w:sz w:val="14"/>
              </w:rPr>
              <w:t>88.2</w:t>
            </w:r>
          </w:p>
        </w:tc>
        <w:tc>
          <w:tcPr>
            <w:tcW w:type="dxa" w:w="624"/>
            <w:shd w:val="clear" w:color="auto" w:fill="FFFFFF"/>
          </w:tcPr>
          <w:p>
            <w:pPr>
              <w:spacing w:after="0"/>
              <w:jc w:val="center"/>
            </w:pPr>
            <w:r>
              <w:rPr>
                <w:rFonts w:ascii="Calibri" w:hAnsi="Calibri"/>
                <w:b w:val="0"/>
                <w:i w:val="0"/>
                <w:sz w:val="14"/>
              </w:rPr>
              <w:t>100</w:t>
            </w:r>
          </w:p>
        </w:tc>
        <w:tc>
          <w:tcPr>
            <w:tcW w:type="dxa" w:w="651"/>
            <w:shd w:val="clear" w:color="auto" w:fill="FFFFFF"/>
          </w:tcPr>
          <w:p>
            <w:pPr>
              <w:spacing w:after="0"/>
              <w:jc w:val="center"/>
            </w:pPr>
            <w:r>
              <w:rPr>
                <w:rFonts w:ascii="Calibri" w:hAnsi="Calibri"/>
                <w:b w:val="0"/>
                <w:i w:val="0"/>
                <w:sz w:val="14"/>
              </w:rPr>
              <w:t>20.0</w:t>
            </w:r>
          </w:p>
        </w:tc>
        <w:tc>
          <w:tcPr>
            <w:tcW w:type="dxa" w:w="1139"/>
            <w:shd w:val="clear" w:color="auto" w:fill="FFFFFF"/>
          </w:tcPr>
          <w:p>
            <w:pPr>
              <w:spacing w:after="0"/>
              <w:jc w:val="center"/>
            </w:pPr>
            <w:r>
              <w:rPr>
                <w:rFonts w:ascii="Calibri" w:hAnsi="Calibri"/>
                <w:b w:val="0"/>
                <w:i w:val="0"/>
                <w:sz w:val="14"/>
              </w:rPr>
              <w:t>1x4C 35</w:t>
            </w:r>
          </w:p>
        </w:tc>
        <w:tc>
          <w:tcPr>
            <w:tcW w:type="dxa" w:w="488"/>
            <w:shd w:val="clear" w:color="auto" w:fill="FFFFFF"/>
          </w:tcPr>
          <w:p>
            <w:pPr>
              <w:spacing w:after="0"/>
              <w:jc w:val="center"/>
            </w:pPr>
            <w:r>
              <w:rPr>
                <w:rFonts w:ascii="Calibri" w:hAnsi="Calibri"/>
                <w:b w:val="0"/>
                <w:i w:val="0"/>
                <w:sz w:val="14"/>
              </w:rPr>
              <w:t>1</w:t>
            </w:r>
          </w:p>
        </w:tc>
        <w:tc>
          <w:tcPr>
            <w:tcW w:type="dxa" w:w="841"/>
            <w:shd w:val="clear" w:color="auto" w:fill="FFFFFF"/>
          </w:tcPr>
          <w:p>
            <w:pPr>
              <w:spacing w:after="0"/>
              <w:jc w:val="center"/>
            </w:pPr>
            <w:r>
              <w:rPr>
                <w:rFonts w:ascii="Calibri" w:hAnsi="Calibri"/>
                <w:b w:val="0"/>
                <w:i w:val="0"/>
                <w:sz w:val="14"/>
              </w:rPr>
              <w:t>1x1C 16</w:t>
            </w:r>
          </w:p>
        </w:tc>
        <w:tc>
          <w:tcPr>
            <w:tcW w:type="dxa" w:w="1193"/>
            <w:shd w:val="clear" w:color="auto" w:fill="FFFFFF"/>
          </w:tcPr>
          <w:p>
            <w:pPr>
              <w:spacing w:after="0"/>
              <w:jc w:val="center"/>
            </w:pPr>
            <w:r>
              <w:rPr>
                <w:rFonts w:ascii="Calibri" w:hAnsi="Calibri"/>
                <w:b w:val="0"/>
                <w:i w:val="0"/>
                <w:sz w:val="14"/>
              </w:rPr>
              <w:t>XLPE/SWA/LSZH</w:t>
            </w:r>
          </w:p>
        </w:tc>
        <w:tc>
          <w:tcPr>
            <w:tcW w:type="dxa" w:w="759"/>
            <w:shd w:val="clear" w:color="auto" w:fill="FFFFFF"/>
          </w:tcPr>
          <w:p>
            <w:pPr>
              <w:spacing w:after="0"/>
              <w:jc w:val="center"/>
            </w:pPr>
            <w:r>
              <w:rPr>
                <w:rFonts w:ascii="Calibri" w:hAnsi="Calibri"/>
                <w:b w:val="0"/>
                <w:i w:val="0"/>
                <w:sz w:val="14"/>
              </w:rPr>
              <w:t>1.09</w:t>
            </w:r>
          </w:p>
        </w:tc>
        <w:tc>
          <w:tcPr>
            <w:tcW w:type="dxa" w:w="624"/>
            <w:shd w:val="clear" w:color="auto" w:fill="FFFFFF"/>
          </w:tcPr>
          <w:p>
            <w:pPr>
              <w:spacing w:after="0"/>
              <w:jc w:val="center"/>
            </w:pPr>
            <w:r>
              <w:rPr>
                <w:rFonts w:ascii="Calibri" w:hAnsi="Calibri"/>
                <w:b w:val="0"/>
                <w:i w:val="0"/>
                <w:sz w:val="14"/>
              </w:rPr>
              <w:t>1.93</w:t>
            </w:r>
          </w:p>
        </w:tc>
        <w:tc>
          <w:tcPr>
            <w:tcW w:type="dxa" w:w="624"/>
            <w:shd w:val="clear" w:color="auto" w:fill="FFFFFF"/>
          </w:tcPr>
          <w:p>
            <w:pPr>
              <w:spacing w:after="0"/>
              <w:jc w:val="center"/>
            </w:pPr>
            <w:r>
              <w:rPr>
                <w:rFonts w:ascii="Calibri" w:hAnsi="Calibri"/>
                <w:b w:val="0"/>
                <w:i w:val="0"/>
                <w:sz w:val="14"/>
              </w:rPr>
              <w:t>0.48</w:t>
            </w:r>
          </w:p>
        </w:tc>
        <w:tc>
          <w:tcPr>
            <w:tcW w:type="dxa" w:w="624"/>
            <w:shd w:val="clear" w:color="auto" w:fill="FFFFFF"/>
          </w:tcPr>
          <w:p>
            <w:pPr>
              <w:spacing w:after="0"/>
              <w:jc w:val="center"/>
            </w:pPr>
            <w:r>
              <w:rPr>
                <w:rFonts w:ascii="Calibri" w:hAnsi="Calibri"/>
                <w:b w:val="0"/>
                <w:i w:val="0"/>
                <w:sz w:val="14"/>
              </w:rPr>
              <w:t>10.23</w:t>
            </w:r>
          </w:p>
        </w:tc>
        <w:tc>
          <w:tcPr>
            <w:tcW w:type="dxa" w:w="624"/>
            <w:shd w:val="clear" w:color="auto" w:fill="FFFFFF"/>
          </w:tcPr>
          <w:p>
            <w:pPr>
              <w:spacing w:after="0"/>
              <w:jc w:val="center"/>
            </w:pPr>
            <w:r>
              <w:rPr>
                <w:rFonts w:ascii="Calibri" w:hAnsi="Calibri"/>
                <w:b w:val="0"/>
                <w:i w:val="0"/>
                <w:sz w:val="14"/>
              </w:rPr>
              <w:t>2.56</w:t>
            </w:r>
          </w:p>
        </w:tc>
        <w:tc>
          <w:tcPr>
            <w:tcW w:type="dxa" w:w="624"/>
            <w:shd w:val="clear" w:color="auto" w:fill="FFFFFF"/>
          </w:tcPr>
          <w:p>
            <w:pPr>
              <w:spacing w:after="0"/>
              <w:jc w:val="center"/>
            </w:pPr>
            <w:r>
              <w:rPr>
                <w:rFonts w:ascii="Calibri" w:hAnsi="Calibri"/>
                <w:b w:val="0"/>
                <w:i w:val="0"/>
                <w:sz w:val="14"/>
              </w:rPr>
              <w:t>-</w:t>
            </w:r>
          </w:p>
        </w:tc>
        <w:tc>
          <w:tcPr>
            <w:tcW w:type="dxa" w:w="678"/>
            <w:shd w:val="clear" w:color="auto" w:fill="FFFFFF"/>
          </w:tcPr>
          <w:p>
            <w:pPr>
              <w:spacing w:after="0"/>
              <w:jc w:val="center"/>
            </w:pPr>
            <w:r>
              <w:rPr>
                <w:rFonts w:ascii="Calibri" w:hAnsi="Calibri"/>
                <w:b/>
                <w:i w:val="0"/>
                <w:sz w:val="14"/>
              </w:rPr>
              <w:t>ok</w:t>
            </w:r>
          </w:p>
        </w:tc>
      </w:tr>
      <w:tr>
        <w:tc>
          <w:tcPr>
            <w:tcW w:type="dxa" w:w="1057"/>
            <w:shd w:val="clear" w:color="auto" w:fill="EFF9FC"/>
          </w:tcPr>
          <w:p>
            <w:pPr>
              <w:spacing w:after="0"/>
              <w:jc w:val="left"/>
            </w:pPr>
            <w:r>
              <w:rPr>
                <w:rFonts w:ascii="Calibri" w:hAnsi="Calibri"/>
                <w:b w:val="0"/>
                <w:i w:val="0"/>
                <w:sz w:val="14"/>
              </w:rPr>
              <w:t>SMDB-RF</w:t>
            </w:r>
          </w:p>
        </w:tc>
        <w:tc>
          <w:tcPr>
            <w:tcW w:type="dxa" w:w="1057"/>
            <w:shd w:val="clear" w:color="auto" w:fill="EFF9FC"/>
          </w:tcPr>
          <w:p>
            <w:pPr>
              <w:spacing w:after="0"/>
              <w:jc w:val="left"/>
            </w:pPr>
            <w:r>
              <w:rPr>
                <w:rFonts w:ascii="Calibri" w:hAnsi="Calibri"/>
                <w:b w:val="0"/>
                <w:i w:val="0"/>
                <w:sz w:val="14"/>
              </w:rPr>
              <w:t>DB-RF-PMP</w:t>
            </w:r>
          </w:p>
        </w:tc>
        <w:tc>
          <w:tcPr>
            <w:tcW w:type="dxa" w:w="624"/>
            <w:shd w:val="clear" w:color="auto" w:fill="EFF9FC"/>
          </w:tcPr>
          <w:p>
            <w:pPr>
              <w:spacing w:after="0"/>
              <w:jc w:val="center"/>
            </w:pPr>
            <w:r>
              <w:rPr>
                <w:rFonts w:ascii="Calibri" w:hAnsi="Calibri"/>
                <w:b w:val="0"/>
                <w:i w:val="0"/>
                <w:sz w:val="14"/>
              </w:rPr>
              <w:t>22.0</w:t>
            </w:r>
          </w:p>
        </w:tc>
        <w:tc>
          <w:tcPr>
            <w:tcW w:type="dxa" w:w="732"/>
            <w:shd w:val="clear" w:color="auto" w:fill="EFF9FC"/>
          </w:tcPr>
          <w:p>
            <w:pPr>
              <w:spacing w:after="0"/>
              <w:jc w:val="center"/>
            </w:pPr>
            <w:r>
              <w:rPr>
                <w:rFonts w:ascii="Calibri" w:hAnsi="Calibri"/>
                <w:b w:val="0"/>
                <w:i w:val="0"/>
                <w:sz w:val="14"/>
              </w:rPr>
              <w:t>35.3</w:t>
            </w:r>
          </w:p>
        </w:tc>
        <w:tc>
          <w:tcPr>
            <w:tcW w:type="dxa" w:w="624"/>
            <w:shd w:val="clear" w:color="auto" w:fill="EFF9FC"/>
          </w:tcPr>
          <w:p>
            <w:pPr>
              <w:spacing w:after="0"/>
              <w:jc w:val="center"/>
            </w:pPr>
            <w:r>
              <w:rPr>
                <w:rFonts w:ascii="Calibri" w:hAnsi="Calibri"/>
                <w:b w:val="0"/>
                <w:i w:val="0"/>
                <w:sz w:val="14"/>
              </w:rPr>
              <w:t>40</w:t>
            </w:r>
          </w:p>
        </w:tc>
        <w:tc>
          <w:tcPr>
            <w:tcW w:type="dxa" w:w="651"/>
            <w:shd w:val="clear" w:color="auto" w:fill="EFF9FC"/>
          </w:tcPr>
          <w:p>
            <w:pPr>
              <w:spacing w:after="0"/>
              <w:jc w:val="center"/>
            </w:pPr>
            <w:r>
              <w:rPr>
                <w:rFonts w:ascii="Calibri" w:hAnsi="Calibri"/>
                <w:b w:val="0"/>
                <w:i w:val="0"/>
                <w:sz w:val="14"/>
              </w:rPr>
              <w:t>15.0</w:t>
            </w:r>
          </w:p>
        </w:tc>
        <w:tc>
          <w:tcPr>
            <w:tcW w:type="dxa" w:w="1139"/>
            <w:shd w:val="clear" w:color="auto" w:fill="EFF9FC"/>
          </w:tcPr>
          <w:p>
            <w:pPr>
              <w:spacing w:after="0"/>
              <w:jc w:val="center"/>
            </w:pPr>
            <w:r>
              <w:rPr>
                <w:rFonts w:ascii="Calibri" w:hAnsi="Calibri"/>
                <w:b w:val="0"/>
                <w:i w:val="0"/>
                <w:sz w:val="14"/>
              </w:rPr>
              <w:t>1x4C 6</w:t>
            </w:r>
          </w:p>
        </w:tc>
        <w:tc>
          <w:tcPr>
            <w:tcW w:type="dxa" w:w="488"/>
            <w:shd w:val="clear" w:color="auto" w:fill="EFF9FC"/>
          </w:tcPr>
          <w:p>
            <w:pPr>
              <w:spacing w:after="0"/>
              <w:jc w:val="center"/>
            </w:pPr>
            <w:r>
              <w:rPr>
                <w:rFonts w:ascii="Calibri" w:hAnsi="Calibri"/>
                <w:b w:val="0"/>
                <w:i w:val="0"/>
                <w:sz w:val="14"/>
              </w:rPr>
              <w:t>1</w:t>
            </w:r>
          </w:p>
        </w:tc>
        <w:tc>
          <w:tcPr>
            <w:tcW w:type="dxa" w:w="841"/>
            <w:shd w:val="clear" w:color="auto" w:fill="EFF9FC"/>
          </w:tcPr>
          <w:p>
            <w:pPr>
              <w:spacing w:after="0"/>
              <w:jc w:val="center"/>
            </w:pPr>
            <w:r>
              <w:rPr>
                <w:rFonts w:ascii="Calibri" w:hAnsi="Calibri"/>
                <w:b w:val="0"/>
                <w:i w:val="0"/>
                <w:sz w:val="14"/>
              </w:rPr>
              <w:t>1x1C 6</w:t>
            </w:r>
          </w:p>
        </w:tc>
        <w:tc>
          <w:tcPr>
            <w:tcW w:type="dxa" w:w="1193"/>
            <w:shd w:val="clear" w:color="auto" w:fill="EFF9FC"/>
          </w:tcPr>
          <w:p>
            <w:pPr>
              <w:spacing w:after="0"/>
              <w:jc w:val="center"/>
            </w:pPr>
            <w:r>
              <w:rPr>
                <w:rFonts w:ascii="Calibri" w:hAnsi="Calibri"/>
                <w:b w:val="0"/>
                <w:i w:val="0"/>
                <w:sz w:val="14"/>
              </w:rPr>
              <w:t>XLPE/SWA/LSZH</w:t>
            </w:r>
          </w:p>
        </w:tc>
        <w:tc>
          <w:tcPr>
            <w:tcW w:type="dxa" w:w="759"/>
            <w:shd w:val="clear" w:color="auto" w:fill="EFF9FC"/>
          </w:tcPr>
          <w:p>
            <w:pPr>
              <w:spacing w:after="0"/>
              <w:jc w:val="center"/>
            </w:pPr>
            <w:r>
              <w:rPr>
                <w:rFonts w:ascii="Calibri" w:hAnsi="Calibri"/>
                <w:b w:val="0"/>
                <w:i w:val="0"/>
                <w:sz w:val="14"/>
              </w:rPr>
              <w:t>6.80</w:t>
            </w:r>
          </w:p>
        </w:tc>
        <w:tc>
          <w:tcPr>
            <w:tcW w:type="dxa" w:w="624"/>
            <w:shd w:val="clear" w:color="auto" w:fill="EFF9FC"/>
          </w:tcPr>
          <w:p>
            <w:pPr>
              <w:spacing w:after="0"/>
              <w:jc w:val="center"/>
            </w:pPr>
            <w:r>
              <w:rPr>
                <w:rFonts w:ascii="Calibri" w:hAnsi="Calibri"/>
                <w:b w:val="0"/>
                <w:i w:val="0"/>
                <w:sz w:val="14"/>
              </w:rPr>
              <w:t>3.60</w:t>
            </w:r>
          </w:p>
        </w:tc>
        <w:tc>
          <w:tcPr>
            <w:tcW w:type="dxa" w:w="624"/>
            <w:shd w:val="clear" w:color="auto" w:fill="EFF9FC"/>
          </w:tcPr>
          <w:p>
            <w:pPr>
              <w:spacing w:after="0"/>
              <w:jc w:val="center"/>
            </w:pPr>
            <w:r>
              <w:rPr>
                <w:rFonts w:ascii="Calibri" w:hAnsi="Calibri"/>
                <w:b w:val="0"/>
                <w:i w:val="0"/>
                <w:sz w:val="14"/>
              </w:rPr>
              <w:t>0.90</w:t>
            </w:r>
          </w:p>
        </w:tc>
        <w:tc>
          <w:tcPr>
            <w:tcW w:type="dxa" w:w="624"/>
            <w:shd w:val="clear" w:color="auto" w:fill="EFF9FC"/>
          </w:tcPr>
          <w:p>
            <w:pPr>
              <w:spacing w:after="0"/>
              <w:jc w:val="center"/>
            </w:pPr>
            <w:r>
              <w:rPr>
                <w:rFonts w:ascii="Calibri" w:hAnsi="Calibri"/>
                <w:b w:val="0"/>
                <w:i w:val="0"/>
                <w:sz w:val="14"/>
              </w:rPr>
              <w:t>11.90</w:t>
            </w:r>
          </w:p>
        </w:tc>
        <w:tc>
          <w:tcPr>
            <w:tcW w:type="dxa" w:w="624"/>
            <w:shd w:val="clear" w:color="auto" w:fill="EFF9FC"/>
          </w:tcPr>
          <w:p>
            <w:pPr>
              <w:spacing w:after="0"/>
              <w:jc w:val="center"/>
            </w:pPr>
            <w:r>
              <w:rPr>
                <w:rFonts w:ascii="Calibri" w:hAnsi="Calibri"/>
                <w:b w:val="0"/>
                <w:i w:val="0"/>
                <w:sz w:val="14"/>
              </w:rPr>
              <w:t>2.98</w:t>
            </w:r>
          </w:p>
        </w:tc>
        <w:tc>
          <w:tcPr>
            <w:tcW w:type="dxa" w:w="624"/>
            <w:shd w:val="clear" w:color="auto" w:fill="EFF9FC"/>
          </w:tcPr>
          <w:p>
            <w:pPr>
              <w:spacing w:after="0"/>
              <w:jc w:val="center"/>
            </w:pPr>
            <w:r>
              <w:rPr>
                <w:rFonts w:ascii="Calibri" w:hAnsi="Calibri"/>
                <w:b w:val="0"/>
                <w:i w:val="0"/>
                <w:sz w:val="14"/>
              </w:rPr>
              <w:t>-</w:t>
            </w:r>
          </w:p>
        </w:tc>
        <w:tc>
          <w:tcPr>
            <w:tcW w:type="dxa" w:w="678"/>
            <w:shd w:val="clear" w:color="auto" w:fill="EFF9FC"/>
          </w:tcPr>
          <w:p>
            <w:pPr>
              <w:spacing w:after="0"/>
              <w:jc w:val="center"/>
            </w:pPr>
            <w:r>
              <w:rPr>
                <w:rFonts w:ascii="Calibri" w:hAnsi="Calibri"/>
                <w:b/>
                <w:i w:val="0"/>
                <w:sz w:val="14"/>
              </w:rPr>
              <w:t>ok</w:t>
            </w:r>
          </w:p>
        </w:tc>
      </w:tr>
    </w:tbl>
    <w:p/>
    <w:p>
      <w:r>
        <w:rPr>
          <w:rFonts w:ascii="Calibri" w:hAnsi="Calibri"/>
          <w:b/>
          <w:color w:val="0A2540"/>
          <w:sz w:val="22"/>
        </w:rPr>
        <w:t>Per-feeder detail</w:t>
      </w:r>
    </w:p>
    <w:p>
      <w:r>
        <w:rPr>
          <w:rFonts w:ascii="Calibri" w:hAnsi="Calibri"/>
          <w:b/>
          <w:color w:val="0A2540"/>
          <w:sz w:val="22"/>
        </w:rPr>
        <w:t>MDB-01 → SMDB-POD</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35</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100 A / 1x1C 16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120.3 A (75.0 kW) / 96.2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1.05 % (4.21 V) / 1.05 % (4.21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1.09</w:t>
            </w:r>
          </w:p>
        </w:tc>
      </w:tr>
    </w:tbl>
    <w:p/>
    <w:p>
      <w:r>
        <w:rPr>
          <w:rFonts w:ascii="Calibri" w:hAnsi="Calibri"/>
          <w:b/>
          <w:color w:val="0A2540"/>
          <w:sz w:val="22"/>
        </w:rPr>
        <w:t>SMDB-POD → DB-POD-RT1</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10</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50 A / 1x1C 10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48.1 A (30.0 kW) / 48.1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1.68 % (6.74 V) / 2.74 % (10.95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4.00</w:t>
            </w:r>
          </w:p>
        </w:tc>
      </w:tr>
    </w:tbl>
    <w:p/>
    <w:p>
      <w:r>
        <w:rPr>
          <w:rFonts w:ascii="Calibri" w:hAnsi="Calibri"/>
          <w:b/>
          <w:color w:val="0A2540"/>
          <w:sz w:val="22"/>
        </w:rPr>
        <w:t>SMDB-POD → DB-POD-KIT</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25</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80 A / 1x1C 16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72.2 A (45.0 kW) / 72.2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0.68 % (2.71 V) / 1.73 % (6.92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1.50</w:t>
            </w:r>
          </w:p>
        </w:tc>
      </w:tr>
    </w:tbl>
    <w:p/>
    <w:p>
      <w:r>
        <w:rPr>
          <w:rFonts w:ascii="Calibri" w:hAnsi="Calibri"/>
          <w:b/>
          <w:color w:val="0A2540"/>
          <w:sz w:val="22"/>
        </w:rPr>
        <w:t>MDB-01 → SMDB-L10</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16</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63 A / 1x1C 16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70.6 A (44.0 kW) / 56.5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1.94 % (7.76 V) / 1.94 % (7.76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2.50</w:t>
            </w:r>
          </w:p>
        </w:tc>
      </w:tr>
    </w:tbl>
    <w:p/>
    <w:p>
      <w:r>
        <w:rPr>
          <w:rFonts w:ascii="Calibri" w:hAnsi="Calibri"/>
          <w:b/>
          <w:color w:val="0A2540"/>
          <w:sz w:val="22"/>
        </w:rPr>
        <w:t>SMDB-L10 → DB-L10-LP</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10</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50 A / 1x1C 10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44.9 A (28.0 kW) / 44.9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0.90 % (3.59 V) / 2.84 % (11.36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4.00</w:t>
            </w:r>
          </w:p>
        </w:tc>
      </w:tr>
    </w:tbl>
    <w:p/>
    <w:p>
      <w:r>
        <w:rPr>
          <w:rFonts w:ascii="Calibri" w:hAnsi="Calibri"/>
          <w:b/>
          <w:color w:val="0A2540"/>
          <w:sz w:val="22"/>
        </w:rPr>
        <w:t>SMDB-L10 → DB-L10-AC</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4</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32 A / 1x1C 4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25.7 A (16.0 kW) / 25.7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1.60 % (6.42 V) / 3.55 % (14.18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10.0</w:t>
            </w:r>
          </w:p>
        </w:tc>
      </w:tr>
    </w:tbl>
    <w:p/>
    <w:p>
      <w:r>
        <w:rPr>
          <w:rFonts w:ascii="Calibri" w:hAnsi="Calibri"/>
          <w:b/>
          <w:color w:val="0A2540"/>
          <w:sz w:val="22"/>
        </w:rPr>
        <w:t>MDB-01 → SMDB-RF</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50</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125 A / 1x1C 25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123.5 A (77.0 kW) / 105.0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2.08 % (8.30 V) / 2.08 % (8.30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0.83</w:t>
            </w:r>
          </w:p>
        </w:tc>
      </w:tr>
    </w:tbl>
    <w:p/>
    <w:p>
      <w:r>
        <w:rPr>
          <w:rFonts w:ascii="Calibri" w:hAnsi="Calibri"/>
          <w:b/>
          <w:color w:val="0A2540"/>
          <w:sz w:val="22"/>
        </w:rPr>
        <w:t>SMDB-RF → DB-RF-AHU</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35</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100 A / 1x1C 16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88.2 A (55.0 kW) / 88.2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0.48 % (1.93 V) / 2.56 % (10.23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1.09</w:t>
            </w:r>
          </w:p>
        </w:tc>
      </w:tr>
    </w:tbl>
    <w:p/>
    <w:p>
      <w:r>
        <w:rPr>
          <w:rFonts w:ascii="Calibri" w:hAnsi="Calibri"/>
          <w:b/>
          <w:color w:val="0A2540"/>
          <w:sz w:val="22"/>
        </w:rPr>
        <w:t>SMDB-RF → DB-RF-PMP</w:t>
      </w:r>
    </w:p>
    <w:tbl>
      <w:tblPr>
        <w:tblStyle w:val="TableGrid"/>
        <w:tblW w:type="auto" w:w="0"/>
        <w:tblLook w:firstColumn="1" w:firstRow="1" w:lastColumn="0" w:lastRow="0" w:noHBand="0" w:noVBand="1" w:val="04A0"/>
      </w:tblPr>
      <w:tblGrid>
        <w:gridCol w:w="6480"/>
        <w:gridCol w:w="6480"/>
      </w:tblGrid>
      <w:tr>
        <w:tc>
          <w:tcPr>
            <w:tcW w:type="dxa" w:w="6480"/>
            <w:shd w:val="clear" w:color="auto" w:fill="0A2540"/>
          </w:tcPr>
          <w:p>
            <w:pPr>
              <w:jc w:val="center"/>
            </w:pPr>
            <w:r>
              <w:rPr>
                <w:rFonts w:ascii="Calibri" w:hAnsi="Calibri"/>
                <w:b/>
                <w:i w:val="0"/>
                <w:color w:val="FFFFFF"/>
                <w:sz w:val="18"/>
              </w:rPr>
              <w:t>Parameter</w:t>
            </w:r>
          </w:p>
        </w:tc>
        <w:tc>
          <w:tcPr>
            <w:tcW w:type="dxa" w:w="6480"/>
            <w:shd w:val="clear" w:color="auto" w:fill="0A2540"/>
          </w:tcPr>
          <w:p>
            <w:pPr>
              <w:jc w:val="center"/>
            </w:pPr>
            <w:r>
              <w:rPr>
                <w:rFonts w:ascii="Calibri" w:hAnsi="Calibri"/>
                <w:b/>
                <w:i w:val="0"/>
                <w:color w:val="FFFFFF"/>
                <w:sz w:val="18"/>
              </w:rPr>
              <w:t>Value</w:t>
            </w:r>
          </w:p>
        </w:tc>
      </w:tr>
      <w:tr>
        <w:tc>
          <w:tcPr>
            <w:tcW w:type="dxa" w:w="6480"/>
            <w:shd w:val="clear" w:color="auto" w:fill="EFF9FC"/>
          </w:tcPr>
          <w:p>
            <w:pPr>
              <w:jc w:val="left"/>
            </w:pPr>
            <w:r>
              <w:rPr>
                <w:rFonts w:ascii="Calibri" w:hAnsi="Calibri"/>
                <w:b w:val="0"/>
                <w:i w:val="0"/>
                <w:sz w:val="18"/>
              </w:rPr>
              <w:t>Feeder</w:t>
            </w:r>
          </w:p>
        </w:tc>
        <w:tc>
          <w:tcPr>
            <w:tcW w:type="dxa" w:w="6480"/>
            <w:shd w:val="clear" w:color="auto" w:fill="EFF9FC"/>
          </w:tcPr>
          <w:p>
            <w:pPr>
              <w:jc w:val="left"/>
            </w:pPr>
            <w:r>
              <w:rPr>
                <w:rFonts w:ascii="Calibri" w:hAnsi="Calibri"/>
                <w:b/>
                <w:i w:val="0"/>
                <w:color w:val="0B3D91"/>
                <w:sz w:val="18"/>
              </w:rPr>
              <w:t>1x4C 6</w:t>
            </w:r>
          </w:p>
        </w:tc>
      </w:tr>
      <w:tr>
        <w:tc>
          <w:tcPr>
            <w:tcW w:type="dxa" w:w="6480"/>
            <w:shd w:val="clear" w:color="auto" w:fill="FFFFFF"/>
          </w:tcPr>
          <w:p>
            <w:pPr>
              <w:jc w:val="left"/>
            </w:pPr>
            <w:r>
              <w:rPr>
                <w:rFonts w:ascii="Calibri" w:hAnsi="Calibri"/>
                <w:b w:val="0"/>
                <w:i w:val="0"/>
                <w:sz w:val="18"/>
              </w:rPr>
              <w:t>Type</w:t>
            </w:r>
          </w:p>
        </w:tc>
        <w:tc>
          <w:tcPr>
            <w:tcW w:type="dxa" w:w="6480"/>
            <w:shd w:val="clear" w:color="auto" w:fill="FFFFFF"/>
          </w:tcPr>
          <w:p>
            <w:pPr>
              <w:jc w:val="left"/>
            </w:pPr>
            <w:r>
              <w:rPr>
                <w:rFonts w:ascii="Calibri" w:hAnsi="Calibri"/>
                <w:b/>
                <w:i w:val="0"/>
                <w:color w:val="0B3D91"/>
                <w:sz w:val="18"/>
              </w:rPr>
              <w:t>XLPE/SWA/LSZH</w:t>
            </w:r>
          </w:p>
        </w:tc>
      </w:tr>
      <w:tr>
        <w:tc>
          <w:tcPr>
            <w:tcW w:type="dxa" w:w="6480"/>
            <w:shd w:val="clear" w:color="auto" w:fill="EFF9FC"/>
          </w:tcPr>
          <w:p>
            <w:pPr>
              <w:jc w:val="left"/>
            </w:pPr>
            <w:r>
              <w:rPr>
                <w:rFonts w:ascii="Calibri" w:hAnsi="Calibri"/>
                <w:b w:val="0"/>
                <w:i w:val="0"/>
                <w:sz w:val="18"/>
              </w:rPr>
              <w:t>Breaker / CPC (Table 54.7)</w:t>
            </w:r>
          </w:p>
        </w:tc>
        <w:tc>
          <w:tcPr>
            <w:tcW w:type="dxa" w:w="6480"/>
            <w:shd w:val="clear" w:color="auto" w:fill="EFF9FC"/>
          </w:tcPr>
          <w:p>
            <w:pPr>
              <w:jc w:val="left"/>
            </w:pPr>
            <w:r>
              <w:rPr>
                <w:rFonts w:ascii="Calibri" w:hAnsi="Calibri"/>
                <w:b/>
                <w:i w:val="0"/>
                <w:color w:val="0B3D91"/>
                <w:sz w:val="18"/>
              </w:rPr>
              <w:t>40 A / 1x1C 6 mm2</w:t>
            </w:r>
          </w:p>
        </w:tc>
      </w:tr>
      <w:tr>
        <w:tc>
          <w:tcPr>
            <w:tcW w:type="dxa" w:w="6480"/>
            <w:shd w:val="clear" w:color="auto" w:fill="FFFFFF"/>
          </w:tcPr>
          <w:p>
            <w:pPr>
              <w:jc w:val="left"/>
            </w:pPr>
            <w:r>
              <w:rPr>
                <w:rFonts w:ascii="Calibri" w:hAnsi="Calibri"/>
                <w:b w:val="0"/>
                <w:i w:val="0"/>
                <w:sz w:val="18"/>
              </w:rPr>
              <w:t>TCL / demand current</w:t>
            </w:r>
          </w:p>
        </w:tc>
        <w:tc>
          <w:tcPr>
            <w:tcW w:type="dxa" w:w="6480"/>
            <w:shd w:val="clear" w:color="auto" w:fill="FFFFFF"/>
          </w:tcPr>
          <w:p>
            <w:pPr>
              <w:jc w:val="left"/>
            </w:pPr>
            <w:r>
              <w:rPr>
                <w:rFonts w:ascii="Calibri" w:hAnsi="Calibri"/>
                <w:b/>
                <w:i w:val="0"/>
                <w:color w:val="0B3D91"/>
                <w:sz w:val="18"/>
              </w:rPr>
              <w:t>35.3 A (22.0 kW) / 35.3 A</w:t>
            </w:r>
          </w:p>
        </w:tc>
      </w:tr>
      <w:tr>
        <w:tc>
          <w:tcPr>
            <w:tcW w:type="dxa" w:w="6480"/>
            <w:shd w:val="clear" w:color="auto" w:fill="EFF9FC"/>
          </w:tcPr>
          <w:p>
            <w:pPr>
              <w:jc w:val="left"/>
            </w:pPr>
            <w:r>
              <w:rPr>
                <w:rFonts w:ascii="Calibri" w:hAnsi="Calibri"/>
                <w:b w:val="0"/>
                <w:i w:val="0"/>
                <w:sz w:val="18"/>
              </w:rPr>
              <w:t>Segment / cumulative VD</w:t>
            </w:r>
          </w:p>
        </w:tc>
        <w:tc>
          <w:tcPr>
            <w:tcW w:type="dxa" w:w="6480"/>
            <w:shd w:val="clear" w:color="auto" w:fill="EFF9FC"/>
          </w:tcPr>
          <w:p>
            <w:pPr>
              <w:jc w:val="left"/>
            </w:pPr>
            <w:r>
              <w:rPr>
                <w:rFonts w:ascii="Calibri" w:hAnsi="Calibri"/>
                <w:b/>
                <w:i w:val="0"/>
                <w:color w:val="0B3D91"/>
                <w:sz w:val="18"/>
              </w:rPr>
              <w:t>0.90 % (3.60 V) / 2.98 % (11.90 V) [ok]</w:t>
            </w:r>
          </w:p>
        </w:tc>
      </w:tr>
      <w:tr>
        <w:tc>
          <w:tcPr>
            <w:tcW w:type="dxa" w:w="6480"/>
            <w:shd w:val="clear" w:color="auto" w:fill="FFFFFF"/>
          </w:tcPr>
          <w:p>
            <w:pPr>
              <w:jc w:val="left"/>
            </w:pPr>
            <w:r>
              <w:rPr>
                <w:rFonts w:ascii="Calibri" w:hAnsi="Calibri"/>
                <w:b w:val="0"/>
                <w:i w:val="0"/>
                <w:sz w:val="18"/>
              </w:rPr>
              <w:t>VD figure (mV/A/m)</w:t>
            </w:r>
          </w:p>
        </w:tc>
        <w:tc>
          <w:tcPr>
            <w:tcW w:type="dxa" w:w="6480"/>
            <w:shd w:val="clear" w:color="auto" w:fill="FFFFFF"/>
          </w:tcPr>
          <w:p>
            <w:pPr>
              <w:jc w:val="left"/>
            </w:pPr>
            <w:r>
              <w:rPr>
                <w:rFonts w:ascii="Calibri" w:hAnsi="Calibri"/>
                <w:b/>
                <w:i w:val="0"/>
                <w:color w:val="0B3D91"/>
                <w:sz w:val="18"/>
              </w:rPr>
              <w:t>6.80</w:t>
            </w:r>
          </w:p>
        </w:tc>
      </w:tr>
    </w:tbl>
    <w:p/>
    <w:p>
      <w:pPr>
        <w:pStyle w:val="Heading1"/>
        <w:pBdr>
          <w:bottom w:val="single" w:sz="6" w:space="4" w:color="0A2540"/>
        </w:pBdr>
      </w:pPr>
      <w:r>
        <w:rPr>
          <w:rFonts w:ascii="Calibri" w:hAnsi="Calibri"/>
          <w:b/>
          <w:color w:val="0A2540"/>
          <w:sz w:val="26"/>
        </w:rPr>
        <w:t>6.  Notes</w:t>
      </w:r>
    </w:p>
    <w:tbl>
      <w:tblPr>
        <w:tblStyle w:val="TableGrid"/>
        <w:tblW w:type="auto" w:w="0"/>
        <w:tblLook w:firstColumn="1" w:firstRow="1" w:lastColumn="0" w:lastRow="0" w:noHBand="0" w:noVBand="1" w:val="04A0"/>
      </w:tblPr>
      <w:tblGrid>
        <w:gridCol w:w="12960"/>
      </w:tblGrid>
      <w:tr>
        <w:tc>
          <w:tcPr>
            <w:tcW w:type="dxa" w:w="12960"/>
            <w:shd w:val="clear" w:color="auto" w:fill="FFF4E5"/>
          </w:tcPr>
          <w:p>
            <w:pPr>
              <w:jc w:val="left"/>
            </w:pPr>
            <w:r>
              <w:rPr>
                <w:rFonts w:ascii="Calibri" w:hAnsi="Calibri"/>
                <w:b/>
                <w:i w:val="0"/>
                <w:color w:val="B45309"/>
                <w:sz w:val="20"/>
              </w:rPr>
              <w:t xml:space="preserve">  ⚠  Advisory</w:t>
            </w:r>
          </w:p>
        </w:tc>
      </w:tr>
      <w:tr>
        <w:tc>
          <w:tcPr>
            <w:tcW w:type="dxa" w:w="12960"/>
            <w:shd w:val="clear" w:color="auto" w:fill="FFF4E5"/>
          </w:tcPr>
          <w:p>
            <w:pPr>
              <w:jc w:val="left"/>
            </w:pPr>
            <w:r>
              <w:rPr>
                <w:rFonts w:ascii="Calibri" w:hAnsi="Calibri"/>
                <w:b w:val="0"/>
                <w:i w:val="0"/>
                <w:color w:val="B45309"/>
                <w:sz w:val="18"/>
              </w:rPr>
              <w:t xml:space="preserve">   • Voltage-drop limits (3% lighting / 5% other) are the deemed-to-satisfy values of Regulation 525.202 (printed p.148) via Appendix 4 section 6.4, Table 4Ab p.430 (public LV supply row; the private-supply 6% / 8% row is not offered) — the project may impose stricter limits.</w:t>
            </w:r>
          </w:p>
        </w:tc>
      </w:tr>
      <w:tr>
        <w:tc>
          <w:tcPr>
            <w:tcW w:type="dxa" w:w="12960"/>
            <w:shd w:val="clear" w:color="auto" w:fill="FFF4E5"/>
          </w:tcPr>
          <w:p>
            <w:pPr>
              <w:jc w:val="left"/>
            </w:pPr>
            <w:r>
              <w:rPr>
                <w:rFonts w:ascii="Calibri" w:hAnsi="Calibri"/>
                <w:b w:val="0"/>
                <w:i w:val="0"/>
                <w:color w:val="B45309"/>
                <w:sz w:val="18"/>
              </w:rPr>
              <w:t xml:space="preserve">   • mV/A/m values are the Appendix 4 printed values at the conductor maximum operating temperature.</w:t>
            </w:r>
          </w:p>
        </w:tc>
      </w:tr>
      <w:tr>
        <w:tc>
          <w:tcPr>
            <w:tcW w:type="dxa" w:w="12960"/>
            <w:shd w:val="clear" w:color="auto" w:fill="FFF4E5"/>
          </w:tcPr>
          <w:p>
            <w:pPr>
              <w:jc w:val="left"/>
            </w:pPr>
            <w:r>
              <w:rPr>
                <w:rFonts w:ascii="Calibri" w:hAnsi="Calibri"/>
                <w:b w:val="0"/>
                <w:i w:val="0"/>
                <w:color w:val="B45309"/>
                <w:sz w:val="18"/>
              </w:rPr>
              <w:t xml:space="preserve">   • Rating factors Ca (Table 4B1), Cg (Table 4C1) and — where a run is declared totally surrounded by thermal insulation — Ci (Regulation 523.9 printed p.146 / Appendix 4 item 2.6 printed p.423). An undeclared insulated route is not derated; declaring it is the designer's input.</w:t>
            </w:r>
          </w:p>
        </w:tc>
      </w:tr>
    </w:tbl>
    <w:p/>
    <w:p>
      <w:pPr>
        <w:pStyle w:val="Heading1"/>
        <w:pBdr>
          <w:bottom w:val="single" w:sz="6" w:space="4" w:color="0A2540"/>
        </w:pBdr>
      </w:pPr>
      <w:r>
        <w:rPr>
          <w:rFonts w:ascii="Calibri" w:hAnsi="Calibri"/>
          <w:b/>
          <w:color w:val="0A2540"/>
          <w:sz w:val="26"/>
        </w:rPr>
        <w:t>R.  Reference Standards</w:t>
      </w:r>
    </w:p>
    <w:p>
      <w:pPr>
        <w:pStyle w:val="ListBullet"/>
      </w:pPr>
      <w:r>
        <w:rPr>
          <w:rFonts w:ascii="Calibri" w:hAnsi="Calibri"/>
          <w:b/>
          <w:color w:val="0A2540"/>
          <w:sz w:val="18"/>
        </w:rPr>
        <w:t>BS 7671:2018+A2:2022 — Appendix 4 Tables 4E4A/4E4B, 4D2A/4D2B, 4B1, 4C1; Table 54.7</w:t>
      </w:r>
    </w:p>
    <w:p>
      <w:r>
        <w:rPr>
          <w:rFonts w:ascii="Calibri" w:hAnsi="Calibri"/>
          <w:i/>
          <w:color w:val="6B7280"/>
          <w:sz w:val="16"/>
        </w:rPr>
        <w:t>Cable Sizer &amp; Voltage Drop — Hussein Ragab</w:t>
      </w:r>
    </w:p>
    <w:sectPr w:rsidR="00FC693F" w:rsidRPr="0006063C" w:rsidSect="0003461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xml:space="preserve">Page </w:t>
    </w:r>
    <w:r>
      <w:rPr>
        <w:rFonts w:ascii="Calibri" w:hAnsi="Calibri"/>
        <w:color w:val="6B7280"/>
        <w:sz w:val="16"/>
      </w:rPr>
      <w:fldChar w:fldCharType="begin"/>
      <w:instrText>PAGE</w:instrText>
      <w:fldChar w:fldCharType="end"/>
    </w:r>
    <w:r>
      <w:rPr>
        <w:rFonts w:ascii="Calibri" w:hAnsi="Calibri"/>
        <w:color w:val="6B7280"/>
        <w:sz w:val="16"/>
      </w:rPr>
      <w:t xml:space="preserve"> of </w:t>
    </w:r>
    <w:r>
      <w:rPr>
        <w:rFonts w:ascii="Calibri" w:hAnsi="Calibri"/>
        <w:color w:val="6B7280"/>
        <w:sz w:val="16"/>
      </w:rPr>
      <w:fldChar w:fldCharType="begin"/>
      <w:instrText>NUMPAGES</w:instrText>
      <w:fldChar w:fldCharType="end"/>
    </w:r>
    <w:r>
      <w:rPr>
        <w:rFonts w:ascii="Calibri" w:hAnsi="Calibri"/>
        <w:color w:val="6B7280"/>
        <w:sz w:val="16"/>
      </w:rPr>
      <w:t xml:space="preserve">Page </w:t>
    </w:r>
    <w:r>
      <w:rPr>
        <w:rFonts w:ascii="Calibri" w:hAnsi="Calibri"/>
        <w:color w:val="6B7280"/>
        <w:sz w:val="16"/>
      </w:rPr>
      <w:fldChar w:fldCharType="begin"/>
      <w:instrText>PAGE</w:instrText>
      <w:fldChar w:fldCharType="end"/>
    </w:r>
    <w:r>
      <w:rPr>
        <w:rFonts w:ascii="Calibri" w:hAnsi="Calibri"/>
        <w:color w:val="6B7280"/>
        <w:sz w:val="16"/>
      </w:rPr>
      <w:t xml:space="preserve"> of </w:t>
    </w:r>
    <w:r>
      <w:rPr>
        <w:rFonts w:ascii="Calibri" w:hAnsi="Calibri"/>
        <w:color w:val="6B7280"/>
        <w:sz w:val="16"/>
      </w:rPr>
      <w:fldChar w:fldCharType="begin"/>
      <w:instrText>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