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40"/>
              </w:rPr>
              <w:t>Clean Agent System — NFPA 2001 Sizing</w:t>
            </w:r>
          </w:p>
        </w:tc>
      </w:tr>
      <w:tr>
        <w:tc>
          <w:tcPr>
            <w:tcW w:type="dxa" w:w="9360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FFFFFF"/>
                <w:sz w:val="24"/>
              </w:rPr>
              <w:t>Total Flooding Quantity Calculation</w:t>
            </w:r>
          </w:p>
        </w:tc>
      </w:tr>
      <w:tr>
        <w:tc>
          <w:tcPr>
            <w:tcW w:type="dxa" w:w="9360"/>
            <w:shd w:val="clear" w:color="auto" w:fill="1A3A5C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CCF0FA"/>
                <w:sz w:val="20"/>
              </w:rPr>
              <w:t>Mass, cylinder count, design concentration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360"/>
            <w:gridSpan w:val="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Project Information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Name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Test Tower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No.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MCT-2026-MEP-001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Revision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Client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Test Dev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Prepared by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Hussein Ragab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Checked by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Principal MEP Review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2026-09-02</w:t>
            </w:r>
          </w:p>
        </w:tc>
      </w:tr>
    </w:tbl>
    <w:p/>
    <w:p>
      <w:r>
        <w:rPr>
          <w:rFonts w:ascii="Calibri" w:hAnsi="Calibri"/>
          <w:i/>
          <w:color w:val="374151"/>
          <w:sz w:val="18"/>
        </w:rPr>
        <w:t>Values in this report are displayed in SI (metric) units.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1.  Methodology &amp; Standards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Reference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Application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NFPA 2001 (2022 ed.)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Standard on Clean Agent Fire Extinguishing Systems — total flooding design, quantity, distribution, hold time.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2.  Design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Agent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FK-5-1-12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Hazard class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Class C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Gross volume V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187.49 m³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Net volume V_net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179.09 m³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Design temperature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20.0 °C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Max expected temperature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40.0 °C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Altitude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5 m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Piping tees (design factor count)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tees 4 → factor 0.00 (Table 7.3.3.1)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Additional ΣDF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0.00 (# 7.3.3.2)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3.  Design Assumptions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Enclosure is sealed to the integrity required by NFPA # 7.1.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Listed nozzles and hydraulic flow software per UL 2127 / UL 2166 shall be used for pipe routing — not calculated here.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Sized to NFPA 2001 (2022 ed.). ISO 14520-1 / EN 15004-1 use the same flooding equations; EN applies a flat Class A safety factor of 1.3 and a different altitude-correction table.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4.  Step-by-Step Calculation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Atmospheric correction factor (system-wide)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ACF = f(altitude) per Table 7.3.3.3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altitude = 5 m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0.999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Interpolated within NFPA tabulated range.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[LV-B1-01] Net protected volume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V_net = V_gross − V_displaced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187.49 − 8.40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179.09 m³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NFPA 2001 # 7.3.1 — gross enclosure minus impervious structures.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[LV-B1-01] Design concentration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C_design = max(MEC × SF, NFPA published min-design floor)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hazard=Class C, actuation=auto, SF=1.35, MEC=3.3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4.50 vol-%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NFPA-published Class C design conc 4.50 % &gt; MEC×SF 4.46 %; using NFPA floor (Table A.7.2.2.3(b) Class C column).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[LV-B1-01] Specific volume of agent vapour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s = K1 + K2·t   (0.0664 + 0.0002741·t)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0.0664 + 0.0002741 × 20.0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0.0719 m³/kg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NFPA 2001 Table A.7.3.1(b) footer (SI form).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[LV-B1-01] Halocarbon flooding mass (# 7.3.1)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W = (V / s) × ( C / (100 − C) 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(179.09 / 0.0719) × (4.50 / 95.50)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117.40 kg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[LV-B1-01] Altitude-corrected mass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W_corr = W × ACF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117.397 × 0.999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117.32 kg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NFPA 2001 # 7.3.3.3.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[LV-B1-01] Achieved concentration at max temp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C_max = 100·r/(1+r),  r = W·s(t_max)/V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W=117.40 kg, s(40.0 °C)=0.0774 m³/kg, V=179.09 m³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4.83 vol-%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Developed concentration per NFPA # 7.3.1.1 (calculated at both the minimum and maximum design temperature). Exposure limits per NFPA # 4.3.2.3 apply to the maximum achieved concentration of the installed quantity (W includes the # 7.3.3 ΣDF agent; the # 7.3.3.3 altitude correction is excluded — the developed vol-% is altitude-invariant), not the design value at the minimum (design) temperature.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8:  Cylinder count (system-wide)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n = ⌈ W_corr / m_cyl ⌉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⌈ 117.32 kg / 259.5 kg ⌉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1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Cylinder: NFPA-Generic 180 L — 259.5 kg max.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9:  Cylinder fill density (this design)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ρ_fill = (W_corr / n) / (V_water)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(117.32 / 1) / 180.0 L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651.8 kg/m³  (45 % of NFPA max 1441.6)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NFPA 2001 Table A.5.1.4.1 max fill density must not be exceeded; well below it means the cylinders are oversized.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Standing NFPA reminders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Discharge time ≤ 10 s per NFPA # 7.5.1 (halocarbon, # 7.5.1.1) — verify via listed OEM hydraulic-flow software (UL 2127 / UL 2166).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Hold time ≥ 10 min per NFPA # 7.4.1 — at least 85 % of the design concentration must persist at the highest protected-content height for the hold period (or the trained-personnel response time); verify by an enclosure door-fan integrity test.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Class C (energised electrical) hazard: NFPA # A.7.2.2.3 and EN 15004-1 # 7.5.1.3 note that higher concentrations may be needed for cable bundles &gt; 100 mm dia, cable-tray fill &gt; 20 %, tray stacks &lt; 250 mm apart, or equipment energised &gt; 5 kW during discharge — confirm the listed design concentration covers the configuration.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5. 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Agent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FK-5-1-12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Design concentration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4.50 vol-%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Atm. correction factor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0.999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Agent mass W (system)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117.32 kg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Achieved conc. @ max temp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4.83 vol-% @ 40.0 °C (# 4.3.2.3 exposure basis)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Cylinder count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Discharge time limit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≤ 10 s  (NFPA # 7.5.1.1)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Hold time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≥ 10 min  (NFPA # 7.4.1)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GWP (100-yr, IPCC 2013)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&lt;1 (Table A.4.6)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ODP (rel. CFC-11)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 — Table A.4.6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Selected cylinder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Cylinder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Model / selection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NFPA-Generic 180 L — 259.5 kg max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Quantity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 × 259.5 kg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Water volume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180 L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Working pressure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25 bar @ 21 °C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Envelope (Ø × H)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386 × 1542 mm  (estimated from water volume — confirm with OEM)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Fill density (this design)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651.8 kg/m³  (45 % of NFPA max 1441.6 kg/m³)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6.  Schematic</w:t>
      </w:r>
    </w:p>
    <w:p>
      <w:r>
        <w:rPr>
          <w:rFonts w:ascii="Calibri" w:hAnsi="Calibri"/>
          <w:b/>
          <w:color w:val="0A2540"/>
          <w:sz w:val="22"/>
        </w:rPr>
        <w:t>Single-zone clean-agent total-flooding arrangement.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3600" cy="21454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_schematic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54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Calibri" w:hAnsi="Calibri"/>
          <w:i/>
          <w:color w:val="6B7280"/>
          <w:sz w:val="16"/>
        </w:rPr>
        <w:t>Schematic is indicative for quantity/zoning intent only. Pipe routing, nozzle placement and hydraulic balance must use listed flow-calculation software per UL 2127 / UL 2166.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R.  Reference Standards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NFPA 2001 (2022 ed.)</w:t>
      </w:r>
      <w:r>
        <w:rPr>
          <w:rFonts w:ascii="Calibri" w:hAnsi="Calibri"/>
          <w:color w:val="374151"/>
          <w:sz w:val="18"/>
        </w:rPr>
        <w:t xml:space="preserve"> — Standard on Clean Agent Fire Extinguishing Systems — total flooding design, quantity, distribution, hold time.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ISO 14520-1</w:t>
      </w:r>
      <w:r>
        <w:rPr>
          <w:rFonts w:ascii="Calibri" w:hAnsi="Calibri"/>
          <w:color w:val="374151"/>
          <w:sz w:val="18"/>
        </w:rPr>
        <w:t xml:space="preserve"> — Gaseous fire-extinguishing systems — physical properties + system design (parallel international standard).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EN 15004-1</w:t>
      </w:r>
      <w:r>
        <w:rPr>
          <w:rFonts w:ascii="Calibri" w:hAnsi="Calibri"/>
          <w:color w:val="374151"/>
          <w:sz w:val="18"/>
        </w:rPr>
        <w:t xml:space="preserve"> — Fixed firefighting systems — gas extinguishing systems — design, installation, maintenance (parallel European standard).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UL 2127 / UL 2166</w:t>
      </w:r>
      <w:r>
        <w:rPr>
          <w:rFonts w:ascii="Calibri" w:hAnsi="Calibri"/>
          <w:color w:val="374151"/>
          <w:sz w:val="18"/>
        </w:rPr>
        <w:t xml:space="preserve"> — Listing standards for inert-gas and halocarbon clean-agent system units — hydraulic flow calc must use software listed under these.</w:t>
      </w:r>
    </w:p>
    <w:p>
      <w:r>
        <w:rPr>
          <w:rFonts w:ascii="Calibri" w:hAnsi="Calibri"/>
          <w:i/>
          <w:color w:val="6B7280"/>
          <w:sz w:val="16"/>
        </w:rPr>
        <w:t>Engineer of record: Hussein Ragab</w:t>
      </w:r>
    </w:p>
    <w:p>
      <w:r>
        <w:rPr>
          <w:rFonts w:ascii="Calibri" w:hAnsi="Calibri"/>
          <w:i/>
          <w:color w:val="6B7280"/>
          <w:sz w:val="16"/>
        </w:rPr>
        <w:t>Generated by Clean Agent Calculator — NFPA 2001 sizing.</w:t>
      </w:r>
    </w:p>
    <w:sectPr w:rsidR="00FC693F" w:rsidRPr="0006063C" w:rsidSect="00034616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 xml:space="preserve">Page </w:t>
    </w:r>
    <w:r>
      <w:rPr>
        <w:rFonts w:ascii="Calibri" w:hAnsi="Calibri"/>
        <w:color w:val="6B7280"/>
        <w:sz w:val="16"/>
      </w:rPr>
      <w:fldChar w:fldCharType="begin"/>
      <w:instrText>PAGE</w:instrText>
      <w:fldChar w:fldCharType="end"/>
    </w:r>
    <w:r>
      <w:rPr>
        <w:rFonts w:ascii="Calibri" w:hAnsi="Calibri"/>
        <w:color w:val="6B7280"/>
        <w:sz w:val="16"/>
      </w:rPr>
      <w:t xml:space="preserve"> of </w:t>
    </w:r>
    <w:r>
      <w:rPr>
        <w:rFonts w:ascii="Calibri" w:hAnsi="Calibri"/>
        <w:color w:val="6B7280"/>
        <w:sz w:val="16"/>
      </w:rPr>
      <w:fldChar w:fldCharType="begin"/>
      <w:instrText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