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40"/>
              </w:rPr>
              <w:t>Condensate Simulation Report</w:t>
            </w:r>
          </w:p>
        </w:tc>
      </w:tr>
      <w:tr>
        <w:tc>
          <w:tcPr>
            <w:tcW w:type="dxa" w:w="9360"/>
            <w:shd w:val="clear" w:color="auto" w:fill="0D4F6B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FFFFFF"/>
                <w:sz w:val="24"/>
              </w:rPr>
              <w:t>HVAC Condensate Production Analysis</w:t>
            </w:r>
          </w:p>
        </w:tc>
      </w:tr>
      <w:tr>
        <w:tc>
          <w:tcPr>
            <w:tcW w:type="dxa" w:w="9360"/>
            <w:shd w:val="clear" w:color="auto" w:fill="1A3A5C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CCF0FA"/>
                <w:sz w:val="20"/>
              </w:rPr>
              <w:t>Psychrometric Analysis  |  Open-Meteo Weather Data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9360"/>
            <w:gridSpan w:val="2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Project Information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Project Name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Test Tower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Project No.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MCT-2026-MEP-001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Revision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P2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Client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Test Dev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Prepared by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Hussein Ragab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Checked by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Principal MEP Review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Date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2026-09-02</w:t>
            </w:r>
          </w:p>
        </w:tc>
      </w:tr>
    </w:tbl>
    <w:p/>
    <w:p>
      <w:r>
        <w:rPr>
          <w:rFonts w:ascii="Calibri" w:hAnsi="Calibri"/>
          <w:i/>
          <w:color w:val="374151"/>
          <w:sz w:val="18"/>
        </w:rPr>
        <w:t>Values in this report are displayed in SI (metric) units.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1.  Methodology &amp; Standards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Reference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Application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ASHRAE Handbook — Fundamentals (2021 SI) Ch. 1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Psychrometric equations for moist-air properties: humidity ratio Eq (8)/(20), saturation pressure Eq (5)/(6), moist-air density Eq (11) via the specific volume Eq (24)-(26), enthalpy Eq (30), thermodynamic wet-bulb Eq (33)/(35).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ANSI/ASHRAE Standard 84-1991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Method of Testing Air-to-Air Heat Exchangers — defines sensible and latent wheel effectiveness (# 6.3.1, Eq 7) used in the heat-recovery calculations.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psychrolib (SI) / ASHRAE RP-1485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Python implementation of the ASHRAE psychrometric equations (RP-1485: Thermodynamic Properties of Real Moist Air). Unit system: SI.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Weather Data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Hourly weather data (T, RH, surface pressure) via the Open-Meteo Archive API for 2025-01-01 to 2025-12-31.  Data source: Open-Meteo archive — live fetch, site timezone Asia/Dubai, data written 2026-09-02 10:25.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Condensate Formula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Q_cond [L/h] = ṁ_dry [kg/s] × 3600 [s/h] × Δω [kg/kg dry air], where ṁ_dry = ρ·V̇/(1 + ω) is the dry-air mass flow taken at the state where V̇ is measured, and ρ is the MOIST-air density at that SAME state (Fundamentals Eq (11)). That state is the OUTDOOR wheel-inlet condition on the heat-recovery paths, the on-coil condition with no recovery (the two coincide at 100 % outdoor air), and the room condition when recirculating: dry-air mass is conserved across a wheel while V̇ is not, so the inlet is the correct basis. Δω = max(0, ω_on-coil − ω_off-coil) and 1 kg of condensate is taken as 1 L. Same identity as the # 4 step trace.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Heat-Recovery Effectiveness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Wheel effectiveness per ASHRAE 84-1991 (# 6.3.1, Eq 7): ε = Q_actual / Q_max, applied on DRY-AIR-MASS flows (ratio ṁ_min/ṁ_supply, ṁ = ρV̇/(1+ω)). Enthalpy wheels have separate sensible and latent effectiveness.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2.  Design Inputs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Location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Dubai, United Arab Emirates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Simulation Period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2025-01-01 to 2025-12-31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FAHU System Type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FAHU with enthalpy wheel only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Fresh Air Flow Rate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12,000 L/s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Off-Coil Dry Bulb Temp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13.0 °C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Off-Coil Condition Type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Relative Humidity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Off-Coil Condition Value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90 % RH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Extract Air Flow Rate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11,000 L/s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Room Dry Bulb Temperature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24.0 °C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Room Wet Bulb Temperature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17.0 °C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Enthalpy Wheel Sensible ε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0.70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Enthalpy Wheel Latent ε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0.65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Operating Schedule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Residential 24/7 (100 % 06:00-22:00, 70 % 22:00-06:00) - Mon-Fri 24 h  |  Sat 24 h  |  Sun 24 h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3.  Design Assumptions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Mid-hour averaging applied to weather data: T and RH averaged between consecutive hours to represent each hour's mean condition.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Off-coil conditions are constant design values (cooling coil setpoints are held regardless of load variations).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Air density is evaluated at on-coil (inlet) conditions for each hour.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Condensate production is zero when the post-wheel supply humidity ratio is at or below the off-coil humidity ratio (Δω ≤ 0).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Enthalpy wheel pre-conditions outdoor air before the cooling coil.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Wheel effectiveness applied using extract air as the sink stream.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Latent effectiveness reduces outdoor humidity ratio before the coil.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Wheel effectiveness: the ε values in # 2 are this run's inputs. The library pre-fills behind them are MID-RANGE picks from the printed ASHRAE SE 2020 Ch.26 catalogue bands (enthalpy wheel ε_s 0.65-0.80, ε_l 0.60-0.75) - an engineering default, NOT a printed cell - use the AHRI-1060 tested values for the selected unit instead. Saved library overrides are active, so the pre-filled values are the engineer's own, not the bundled defaults.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ASHRAE 84-1991 # 6.3.2 defines effectiveness on the enthalpy exchanged where condensation occurs on the exchanger; this tool applies the rated sensible and latent effectiveness in every hour, including condensing hours - verify against the manufacturer's condensing-condition data where the wet-coil result is design-critical.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Room / return design conditions: the DB and WB in # 2 are this run's inputs. The library pre-fills behind them are TYPICAL cooling-season design values (ASHRAE Standard 55-2010 summer comfort zone; ASHRAE Handbook - HVAC Applications (2019) Ch. 1 / 2 / 9 / 20; ASHRAE TC 9.9 (2011) Class A1) - an engineering default, NOT a printed cell for this specific space - confirm the setpoint against the project specification. ASHRAE 55-2010 and TC 9.9 are held with the tool; the HVAC Applications handbook is cited as a design reference and is NOT bundled, so these pairs are engineering estimates, not transcribed handbook cells. Saved library overrides are active, so the pre-filled values are the engineer's own, not the bundled defaults.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Operating schedule applied: Residential 24/7 (100 % 06:00-22:00, 70 % 22:00-06:00). Hourly capacity is the percent of design airflow; off hours draw no air (0 %). Each day of the week (Mon-Sun) follows its own 24-hour profile; the weekend is Saturday and Sunday. Pattern: Mon-Fri 24 h  |  Sat 24 h  |  Sun 24 h. Profiles were manually edited.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4.  Step-by-Step Calculation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1:  Design-point outdoor air (peak hour)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T_o, RH_o, P from the hourly weather series (source: see # 1 Data source)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Peak hour: 2025-09-01 21:00:00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—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2:  Outdoor humidity ratio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ω_o = GetHumRatioFromRelHum(T_o, RH_o/100, P)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T_o=31.90 °C, RH_o=86.0 %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0.02652 kg/kg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3:  Room extract humidity ratio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ω_r = GetHumRatioFromTWetBulb(T_room_DB, T_room_WB, P)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T_DB=24.0 °C, T_WB=17.0 °C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0.00944 kg/kg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4:  Air-mass-flow ratio (ASHRAE 84-1991 Eq 7)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ṁ = ρ · V̇ / (1+ω);  ratio = ṁ_min / ṁ_supply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ṁ_s=13.0784, ṁ_e=12.6401 kg/s  →  ratio=0.9665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0.96649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5:  Enthalpy-wheel sensible pre-cool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T_on = T_o − ε_s · ratio · (T_o − T_room)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ε_s=0.7, ratio=0.9665, T_o=31.90, T_room=24.0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26.6 °C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6:  Enthalpy-wheel latent pre-dehumidify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ω_on = ω_o − ε_l · ratio · (ω_o − ω_r)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ε_l=0.65, ratio=0.9665, ω_o=0.02652, ω_r=0.00944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0.01579 kg/kg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7:  Off-coil humidity ratio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ω_out = GetHumRatioFromRelHum(T_off, RH/100, P)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T_off=13.0 °C, RH=90.0 %, P=99,500 Pa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0.00854 kg/kg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8:  Moisture removed per hour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Δω = max(0, ω_on − ω_out)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ω_on=0.01579, ω_out=0.00854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0.00725 kg/kg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9:  Hourly condensate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Q = ρ(T_o,ω_o) · V̇_f / (1+ω_o) · 3600 · Δω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ρ=1.119 kg/m³, V̇_f=12.000 m³/s, Δω=0.00725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341.36 L/h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5. 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Simulation Period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2025-01-01 to 2025-12-31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TOTAL CONDENSATE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850,041 L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Peak Daily Condensate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6,280 L/day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Date of Peak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24 Jul 2025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Average Daily Condensate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2,329 L/day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Summer Average Daily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3,731 L/day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Winter Average Daily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901 L/day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Spring Average Daily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1,603 L/day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Fall Average Daily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3,058 L/day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Monthly Breakdown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Month</w:t>
            </w:r>
          </w:p>
        </w:tc>
        <w:tc>
          <w:tcPr>
            <w:tcW w:type="dxa" w:w="234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Total (L)</w:t>
            </w:r>
          </w:p>
        </w:tc>
        <w:tc>
          <w:tcPr>
            <w:tcW w:type="dxa" w:w="234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Avg Daily (L/day)</w:t>
            </w:r>
          </w:p>
        </w:tc>
        <w:tc>
          <w:tcPr>
            <w:tcW w:type="dxa" w:w="234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Peak Daily (L/day)</w:t>
            </w:r>
          </w:p>
        </w:tc>
      </w:tr>
      <w:tr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January 2025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15,451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498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1,712</w:t>
            </w:r>
          </w:p>
        </w:tc>
      </w:tr>
      <w:tr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February 2025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29,301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1,046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2,562</w:t>
            </w:r>
          </w:p>
        </w:tc>
      </w:tr>
      <w:tr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March 2025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30,248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976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2,215</w:t>
            </w:r>
          </w:p>
        </w:tc>
      </w:tr>
      <w:tr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April 2025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38,613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1,287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2,856</w:t>
            </w:r>
          </w:p>
        </w:tc>
      </w:tr>
      <w:tr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May 2025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78,598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2,535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4,295</w:t>
            </w:r>
          </w:p>
        </w:tc>
      </w:tr>
      <w:tr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June 2025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113,205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3,774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5,174</w:t>
            </w:r>
          </w:p>
        </w:tc>
      </w:tr>
      <w:tr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July 2025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120,003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3,871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6,280</w:t>
            </w:r>
          </w:p>
        </w:tc>
      </w:tr>
      <w:tr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August 2025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110,012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3,549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4,992</w:t>
            </w:r>
          </w:p>
        </w:tc>
      </w:tr>
      <w:tr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September 2025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130,757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4,359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6,187</w:t>
            </w:r>
          </w:p>
        </w:tc>
      </w:tr>
      <w:tr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October 2025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104,777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3,380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5,838</w:t>
            </w:r>
          </w:p>
        </w:tc>
      </w:tr>
      <w:tr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November 2025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42,709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1,424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3,130</w:t>
            </w:r>
          </w:p>
        </w:tc>
      </w:tr>
      <w:tr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December 2025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36,368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1,173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2,366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6.  Condensate Profile</w:t>
      </w:r>
    </w:p>
    <w:p>
      <w:r>
        <w:rPr>
          <w:rFonts w:ascii="Calibri" w:hAnsi="Calibri"/>
          <w:i w:val="0"/>
          <w:color w:val="374151"/>
          <w:sz w:val="18"/>
        </w:rPr>
        <w:t>Condensate production at four aggregations: daily totals, the full hourly series, monthly totals, and the season-to-season average daily generation. Higher values typically occur during humid summer months when the difference between outdoor and off-coil humidity ratios is greatest.</w:t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23832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8326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23832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8326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238326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8326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237268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7268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7.  Condensate Recovery &amp; Reuse</w:t>
      </w:r>
    </w:p>
    <w:p>
      <w:r>
        <w:rPr>
          <w:rFonts w:ascii="Calibri" w:hAnsi="Calibri"/>
          <w:i w:val="0"/>
          <w:color w:val="374151"/>
          <w:sz w:val="18"/>
        </w:rPr>
        <w:t>Storage and reuse assessment for the condensate computed above. The recovery tank is simulated day-by-day using the continuous daily time-series (behavioural) method of BS 8515:2009+A1:2013 # 4.1.2.4, in the context of BS EN 16941-1:2018 on-site non-potable reuse. Within each day this tool applies a yield-before-spillage convention (same-day condensate is usable the same day, reflecting continuous condensate production; neither standard prescribes the within-day draw order - EN 16941-1 Annex A illustrates a previous-day-storage variant): each day the demand is met first from stored condensate, then from potable make-up; surplus is stored up to the tank capacity and any excess overflows. The water demand is always met - the assessment quantifies how much potable make-up the condensate displaces (the saving) and how much is still purchased (the residual / diff). Collection efficiency is 100 %; the tariff is a fixed rate per cubic metre; the currency code is a label only (no FX conversion). Sources are combined by date before sizing.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Storage Tank Size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3,520 L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Tank Sizing Basis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days-of-demand buffer  (1.6 days x 2,200 L/day)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Total Condensate Collected / yr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850,041 L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Total Water Demand / yr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803,000 L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Condensate Used (offset)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595,343 L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Potable Make-up (residual)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207,657 L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Wasted Overflow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254,698 L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Demand Met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74 %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Water Tariff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12 AED/m3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ANNUAL SAVING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7,144 AED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Residual Potable Cost (the diff)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2,492 AED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255368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36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Calibri" w:hAnsi="Calibri"/>
          <w:b/>
          <w:color w:val="0A2540"/>
          <w:sz w:val="22"/>
        </w:rPr>
        <w:t>Seasonal Breakdown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type="dxa" w:w="156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Season</w:t>
            </w:r>
          </w:p>
        </w:tc>
        <w:tc>
          <w:tcPr>
            <w:tcW w:type="dxa" w:w="156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Condensate (L)</w:t>
            </w:r>
          </w:p>
        </w:tc>
        <w:tc>
          <w:tcPr>
            <w:tcW w:type="dxa" w:w="156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Demand (L)</w:t>
            </w:r>
          </w:p>
        </w:tc>
        <w:tc>
          <w:tcPr>
            <w:tcW w:type="dxa" w:w="156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Used (L)</w:t>
            </w:r>
          </w:p>
        </w:tc>
        <w:tc>
          <w:tcPr>
            <w:tcW w:type="dxa" w:w="156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Potable (L)</w:t>
            </w:r>
          </w:p>
        </w:tc>
        <w:tc>
          <w:tcPr>
            <w:tcW w:type="dxa" w:w="156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Wasted (L)</w:t>
            </w:r>
          </w:p>
        </w:tc>
      </w:tr>
      <w:tr>
        <w:tc>
          <w:tcPr>
            <w:tcW w:type="dxa" w:w="156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Mar-May</w:t>
            </w:r>
          </w:p>
        </w:tc>
        <w:tc>
          <w:tcPr>
            <w:tcW w:type="dxa" w:w="156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147,459</w:t>
            </w:r>
          </w:p>
        </w:tc>
        <w:tc>
          <w:tcPr>
            <w:tcW w:type="dxa" w:w="156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202,400</w:t>
            </w:r>
          </w:p>
        </w:tc>
        <w:tc>
          <w:tcPr>
            <w:tcW w:type="dxa" w:w="156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132,057</w:t>
            </w:r>
          </w:p>
        </w:tc>
        <w:tc>
          <w:tcPr>
            <w:tcW w:type="dxa" w:w="156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70,343</w:t>
            </w:r>
          </w:p>
        </w:tc>
        <w:tc>
          <w:tcPr>
            <w:tcW w:type="dxa" w:w="156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11,881</w:t>
            </w:r>
          </w:p>
        </w:tc>
      </w:tr>
      <w:tr>
        <w:tc>
          <w:tcPr>
            <w:tcW w:type="dxa" w:w="156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Jun-Aug</w:t>
            </w:r>
          </w:p>
        </w:tc>
        <w:tc>
          <w:tcPr>
            <w:tcW w:type="dxa" w:w="156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343,220</w:t>
            </w:r>
          </w:p>
        </w:tc>
        <w:tc>
          <w:tcPr>
            <w:tcW w:type="dxa" w:w="156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202,400</w:t>
            </w:r>
          </w:p>
        </w:tc>
        <w:tc>
          <w:tcPr>
            <w:tcW w:type="dxa" w:w="156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202,400</w:t>
            </w:r>
          </w:p>
        </w:tc>
        <w:tc>
          <w:tcPr>
            <w:tcW w:type="dxa" w:w="156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  <w:tc>
          <w:tcPr>
            <w:tcW w:type="dxa" w:w="156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140,820</w:t>
            </w:r>
          </w:p>
        </w:tc>
      </w:tr>
      <w:tr>
        <w:tc>
          <w:tcPr>
            <w:tcW w:type="dxa" w:w="156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Sep-Nov</w:t>
            </w:r>
          </w:p>
        </w:tc>
        <w:tc>
          <w:tcPr>
            <w:tcW w:type="dxa" w:w="156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278,242</w:t>
            </w:r>
          </w:p>
        </w:tc>
        <w:tc>
          <w:tcPr>
            <w:tcW w:type="dxa" w:w="156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200,200</w:t>
            </w:r>
          </w:p>
        </w:tc>
        <w:tc>
          <w:tcPr>
            <w:tcW w:type="dxa" w:w="156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179,765</w:t>
            </w:r>
          </w:p>
        </w:tc>
        <w:tc>
          <w:tcPr>
            <w:tcW w:type="dxa" w:w="156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20,435</w:t>
            </w:r>
          </w:p>
        </w:tc>
        <w:tc>
          <w:tcPr>
            <w:tcW w:type="dxa" w:w="156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101,997</w:t>
            </w:r>
          </w:p>
        </w:tc>
      </w:tr>
      <w:tr>
        <w:tc>
          <w:tcPr>
            <w:tcW w:type="dxa" w:w="156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Dec-Feb</w:t>
            </w:r>
          </w:p>
        </w:tc>
        <w:tc>
          <w:tcPr>
            <w:tcW w:type="dxa" w:w="156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81,120</w:t>
            </w:r>
          </w:p>
        </w:tc>
        <w:tc>
          <w:tcPr>
            <w:tcW w:type="dxa" w:w="156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198,000</w:t>
            </w:r>
          </w:p>
        </w:tc>
        <w:tc>
          <w:tcPr>
            <w:tcW w:type="dxa" w:w="156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81,120</w:t>
            </w:r>
          </w:p>
        </w:tc>
        <w:tc>
          <w:tcPr>
            <w:tcW w:type="dxa" w:w="156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116,880</w:t>
            </w:r>
          </w:p>
        </w:tc>
        <w:tc>
          <w:tcPr>
            <w:tcW w:type="dxa" w:w="156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Condensate Sources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Source</w:t>
            </w:r>
          </w:p>
        </w:tc>
        <w:tc>
          <w:tcPr>
            <w:tcW w:type="dxa" w:w="312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Annual Volume</w:t>
            </w:r>
          </w:p>
        </w:tc>
        <w:tc>
          <w:tcPr>
            <w:tcW w:type="dxa" w:w="312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Marginal Saving</w:t>
            </w:r>
          </w:p>
        </w:tc>
      </w:tr>
      <w:tr>
        <w:tc>
          <w:tcPr>
            <w:tcW w:type="dxa" w:w="312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FAHU-01 roof enthalpy-wheel</w:t>
            </w:r>
          </w:p>
        </w:tc>
        <w:tc>
          <w:tcPr>
            <w:tcW w:type="dxa" w:w="312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850,041 L</w:t>
            </w:r>
          </w:p>
        </w:tc>
        <w:tc>
          <w:tcPr>
            <w:tcW w:type="dxa" w:w="312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7,144 AED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Calculation Trace</w:t>
      </w:r>
    </w:p>
    <w:p>
      <w:r>
        <w:rPr>
          <w:rFonts w:ascii="Calibri" w:hAnsi="Calibri"/>
          <w:i w:val="0"/>
          <w:sz w:val="18"/>
        </w:rPr>
        <w:t>1. Sources combined by date: 1 source(s) over 365 day(s); total collected 850,041 L (850.04 m3) at 100 % collection efficiency.</w:t>
      </w:r>
    </w:p>
    <w:p>
      <w:r>
        <w:rPr>
          <w:rFonts w:ascii="Calibri" w:hAnsi="Calibri"/>
          <w:i w:val="0"/>
          <w:sz w:val="18"/>
        </w:rPr>
        <w:t>2. Tank = 1.6 day(s) of demand x peak daily demand 2,200 L/day = 3,520 L (demand-anchored; condensate fills it, potable tops up the rest). The 1-day buffer is a tool advisory default - no standard attribution.</w:t>
      </w:r>
    </w:p>
    <w:p>
      <w:r>
        <w:rPr>
          <w:rFonts w:ascii="Calibri" w:hAnsi="Calibri"/>
          <w:i w:val="0"/>
          <w:sz w:val="18"/>
        </w:rPr>
        <w:t>3. Daily mass-balance run with CONSTANT demand 2,200 L/day. Each day: draw condensate first, top up the rest from potable, store leftover up to the tank capacity.</w:t>
      </w:r>
    </w:p>
    <w:p>
      <w:r>
        <w:rPr>
          <w:rFonts w:ascii="Calibri" w:hAnsi="Calibri"/>
          <w:i w:val="0"/>
          <w:sz w:val="18"/>
        </w:rPr>
        <w:t xml:space="preserve">   - Mar-May: condensate 147,459 L, demand 202,400 L -&gt; used 132,057 L, potable 70,343 L, wasted 11,881 L (over 92 day(s)).</w:t>
      </w:r>
    </w:p>
    <w:p>
      <w:r>
        <w:rPr>
          <w:rFonts w:ascii="Calibri" w:hAnsi="Calibri"/>
          <w:i w:val="0"/>
          <w:sz w:val="18"/>
        </w:rPr>
        <w:t xml:space="preserve">   - Jun-Aug: condensate 343,220 L, demand 202,400 L -&gt; used 202,400 L, potable 0 L, wasted 140,820 L (over 92 day(s)).</w:t>
      </w:r>
    </w:p>
    <w:p>
      <w:r>
        <w:rPr>
          <w:rFonts w:ascii="Calibri" w:hAnsi="Calibri"/>
          <w:i w:val="0"/>
          <w:sz w:val="18"/>
        </w:rPr>
        <w:t xml:space="preserve">   - Sep-Nov: condensate 278,242 L, demand 200,200 L -&gt; used 179,765 L, potable 20,435 L, wasted 101,997 L (over 91 day(s)).</w:t>
      </w:r>
    </w:p>
    <w:p>
      <w:r>
        <w:rPr>
          <w:rFonts w:ascii="Calibri" w:hAnsi="Calibri"/>
          <w:i w:val="0"/>
          <w:sz w:val="18"/>
        </w:rPr>
        <w:t xml:space="preserve">   - Dec-Feb: condensate 81,120 L, demand 198,000 L -&gt; used 81,120 L, potable 116,880 L, wasted 0 L (over 90 day(s)).</w:t>
      </w:r>
    </w:p>
    <w:p>
      <w:r>
        <w:rPr>
          <w:rFonts w:ascii="Calibri" w:hAnsi="Calibri"/>
          <w:i w:val="0"/>
          <w:sz w:val="18"/>
        </w:rPr>
        <w:t>4. Year: condensate used 595,343 L, potable make-up 207,657 L, wasted overflow 254,698 L; demand met 74 %.</w:t>
      </w:r>
    </w:p>
    <w:p>
      <w:r>
        <w:rPr>
          <w:rFonts w:ascii="Calibri" w:hAnsi="Calibri"/>
          <w:i w:val="0"/>
          <w:sz w:val="18"/>
        </w:rPr>
        <w:t>5. Annual saving = used 595,343 L / 1000 x 12 AED/m3 = 7,144 AED.</w:t>
      </w:r>
    </w:p>
    <w:p>
      <w:r>
        <w:rPr>
          <w:rFonts w:ascii="Calibri" w:hAnsi="Calibri"/>
          <w:i w:val="0"/>
          <w:sz w:val="18"/>
        </w:rPr>
        <w:t>6. Residual potable cost (the diff) = make-up 207,657 L / 1000 x 12 AED/m3 = 2,492 AED (potable only; sewerage/discharge not credited).</w:t>
      </w:r>
    </w:p>
    <w:p>
      <w:r>
        <w:rPr>
          <w:rFonts w:ascii="Calibri" w:hAnsi="Calibri"/>
          <w:i w:val="0"/>
          <w:sz w:val="18"/>
        </w:rPr>
        <w:t>7. ADVICE: Condensate cannot meet demand even with unlimited storage - short 155,125 L/yr. Collect from more sources if possible (e.g. add FCU/FAHU units to the recovery set). Fires above 5 % of demand (tool advisory default - no standard attribution).</w:t>
      </w:r>
    </w:p>
    <w:p>
      <w:r>
        <w:rPr>
          <w:rFonts w:ascii="Calibri" w:hAnsi="Calibri"/>
          <w:i w:val="0"/>
          <w:sz w:val="18"/>
        </w:rPr>
        <w:t>8. ADVICE: Supply and demand are out of phase: condensate is wasted in Mar-May, Jun-Aug, Sep-Nov while potable make-up is bought in Mar-May, Sep-Nov, Dec-Feb. A day tank cannot bridge seasons.</w:t>
      </w:r>
    </w:p>
    <w:p>
      <w:r>
        <w:rPr>
          <w:rFonts w:ascii="Calibri" w:hAnsi="Calibri"/>
          <w:i w:val="0"/>
          <w:sz w:val="18"/>
        </w:rPr>
        <w:t>9. ADVICE: Optional: a larger tank would capture about 52,532 L/yr more condensate before it overflows. Fires above 5 % of demand (tool advisory default - no standard attribution).</w:t>
      </w:r>
    </w:p>
    <w:p>
      <w:r>
        <w:rPr>
          <w:rFonts w:ascii="Calibri" w:hAnsi="Calibri"/>
          <w:b/>
          <w:color w:val="0A2540"/>
          <w:sz w:val="22"/>
        </w:rPr>
        <w:t>Advice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Condensate cannot meet demand even with unlimited storage - short 155,125 L/yr. Collect from more sources if possible (e.g. add FCU/FAHU units to the recovery set). Fires above 5 % of demand (tool advisory default - no standard attribution).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Supply and demand are out of phase: condensate is wasted in Mar-May, Jun-Aug, Sep-Nov while potable make-up is bought in Mar-May, Sep-Nov, Dec-Feb. A day tank cannot bridge seasons.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Optional: a larger tank would capture about 52,532 L/yr more condensate before it overflows. Fires above 5 % of demand (tool advisory default - no standard attribution).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R.  Reference Standards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ASHRAE Handbook — Fundamentals (2021 SI), Ch. 1 Psychrometrics</w:t>
      </w:r>
      <w:r>
        <w:rPr>
          <w:rFonts w:ascii="Calibri" w:hAnsi="Calibri"/>
          <w:color w:val="374151"/>
          <w:sz w:val="18"/>
        </w:rPr>
        <w:t xml:space="preserve"> — Moist-air property equations: humidity ratio Eq (8)/(20), saturation pressure Eq (5)/(6), density Eq (11)/(26), enthalpy Eq (30), thermodynamic wet-bulb Eq (33)/(35), adiabatic mixing Eq (44).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ANSI/ASHRAE Standard 84-1991</w:t>
      </w:r>
      <w:r>
        <w:rPr>
          <w:rFonts w:ascii="Calibri" w:hAnsi="Calibri"/>
          <w:color w:val="374151"/>
          <w:sz w:val="18"/>
        </w:rPr>
        <w:t xml:space="preserve"> — Method of Testing Air-to-Air Heat Exchangers — wheel effectiveness = actual / maximum transfer (# 6.3.1, Eq 7); applied on DRY-AIR-MASS flows m = rho*V/(1+w), ratio m_min/m_supply.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psychrolib (SI) / ASHRAE RP-1485</w:t>
      </w:r>
      <w:r>
        <w:rPr>
          <w:rFonts w:ascii="Calibri" w:hAnsi="Calibri"/>
          <w:color w:val="374151"/>
          <w:sz w:val="18"/>
        </w:rPr>
        <w:t xml:space="preserve"> — Validated Python implementation of the ASHRAE psychrometric equations (RP-1485: Thermodynamic Properties of Real Moist Air).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BS 8515:2009+A1:2013</w:t>
      </w:r>
      <w:r>
        <w:rPr>
          <w:rFonts w:ascii="Calibri" w:hAnsi="Calibri"/>
          <w:color w:val="374151"/>
          <w:sz w:val="18"/>
        </w:rPr>
        <w:t xml:space="preserve"> — Rainwater harvesting systems - Code of practice: detailed daily mass-balance storage sizing (# 4.1.2.4), applied to condensate reuse.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BS EN 16941-1:2018</w:t>
      </w:r>
      <w:r>
        <w:rPr>
          <w:rFonts w:ascii="Calibri" w:hAnsi="Calibri"/>
          <w:color w:val="374151"/>
          <w:sz w:val="18"/>
        </w:rPr>
        <w:t xml:space="preserve"> — On-site non-potable water systems - Part 1 (rainwater): reuse design and demand-matching context for the condensate recovery assessment.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Open-Meteo Archive API</w:t>
      </w:r>
      <w:r>
        <w:rPr>
          <w:rFonts w:ascii="Calibri" w:hAnsi="Calibri"/>
          <w:color w:val="374151"/>
          <w:sz w:val="18"/>
        </w:rPr>
        <w:t xml:space="preserve"> — Hourly historical weather data (T, RH, surface pressure).</w:t>
      </w:r>
    </w:p>
    <w:p>
      <w:r>
        <w:rPr>
          <w:rFonts w:ascii="Calibri" w:hAnsi="Calibri"/>
          <w:i/>
          <w:color w:val="B45309"/>
          <w:sz w:val="16"/>
        </w:rPr>
        <w:t>Library: user-edited overrides are active (file: C:\Users\enghu\AppData\Roaming\MEP Suite\condensate\library.json).</w:t>
      </w:r>
    </w:p>
    <w:p>
      <w:r>
        <w:rPr>
          <w:rFonts w:ascii="Calibri" w:hAnsi="Calibri"/>
          <w:i/>
          <w:color w:val="6B7280"/>
          <w:sz w:val="16"/>
        </w:rPr>
        <w:t>Engineer of record: Hussein Ragab</w:t>
      </w:r>
    </w:p>
    <w:p>
      <w:r>
        <w:rPr>
          <w:rFonts w:ascii="Calibri" w:hAnsi="Calibri"/>
          <w:i/>
          <w:color w:val="6B7280"/>
          <w:sz w:val="16"/>
        </w:rPr>
        <w:t>Generated by Condensate Simulator — ASHRAE psychrometric condensate analysis.</w:t>
      </w:r>
    </w:p>
    <w:sectPr w:rsidR="00FC693F" w:rsidRPr="0006063C" w:rsidSect="00034616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B7280"/>
        <w:sz w:val="16"/>
      </w:rPr>
      <w:t xml:space="preserve">Page </w:t>
    </w:r>
    <w:r>
      <w:rPr>
        <w:rFonts w:ascii="Calibri" w:hAnsi="Calibri"/>
        <w:color w:val="6B7280"/>
        <w:sz w:val="16"/>
      </w:rPr>
      <w:fldChar w:fldCharType="begin"/>
      <w:instrText>PAGE</w:instrText>
      <w:fldChar w:fldCharType="end"/>
    </w:r>
    <w:r>
      <w:rPr>
        <w:rFonts w:ascii="Calibri" w:hAnsi="Calibri"/>
        <w:color w:val="6B7280"/>
        <w:sz w:val="16"/>
      </w:rPr>
      <w:t xml:space="preserve"> of </w:t>
    </w:r>
    <w:r>
      <w:rPr>
        <w:rFonts w:ascii="Calibri" w:hAnsi="Calibri"/>
        <w:color w:val="6B7280"/>
        <w:sz w:val="16"/>
      </w:rPr>
      <w:fldChar w:fldCharType="begin"/>
      <w:instrText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