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Ventilation Calculation Report</w:t>
            </w:r>
          </w:p>
        </w:tc>
      </w:tr>
      <w:tr>
        <w:tc>
          <w:tcPr>
            <w:tcW w:type="dxa" w:w="9360"/>
            <w:shd w:val="clear" w:color="auto" w:fill="0D4F6B"/>
          </w:tcPr>
          <w:p>
            <w:pPr>
              <w:jc w:val="center"/>
            </w:pPr>
            <w:r>
              <w:rPr>
                <w:rFonts w:ascii="Calibri" w:hAnsi="Calibri"/>
                <w:b w:val="0"/>
                <w:color w:val="FFFFFF"/>
                <w:sz w:val="24"/>
              </w:rPr>
              <w:t>ASHRAE 62.1-2022 / ASHRAE 62.2-2025</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  Calculated in SI units - the project's saved unit system; computed from the standards' printed SI values, which differ slightly from an I-P calculation.</w:t>
      </w:r>
    </w:p>
    <w:p>
      <w:pPr>
        <w:pStyle w:val="Heading1"/>
        <w:pBdr>
          <w:bottom w:val="single" w:sz="6" w:space="4" w:color="0A2540"/>
        </w:pBdr>
      </w:pPr>
      <w:r>
        <w:rPr>
          <w:rFonts w:ascii="Calibri" w:hAnsi="Calibri"/>
          <w:b/>
          <w:color w:val="0A2540"/>
          <w:sz w:val="26"/>
        </w:rPr>
        <w:t>1.  Methodology &amp; Standards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Method</w:t>
            </w:r>
          </w:p>
        </w:tc>
        <w:tc>
          <w:tcPr>
            <w:tcW w:type="dxa" w:w="4680"/>
            <w:shd w:val="clear" w:color="auto" w:fill="0A2540"/>
          </w:tcPr>
          <w:p>
            <w:pPr>
              <w:jc w:val="center"/>
            </w:pPr>
            <w:r>
              <w:rPr>
                <w:rFonts w:ascii="Calibri" w:hAnsi="Calibri"/>
                <w:b/>
                <w:i w:val="0"/>
                <w:color w:val="FFFFFF"/>
                <w:sz w:val="18"/>
              </w:rPr>
              <w:t>Formula</w:t>
            </w:r>
          </w:p>
        </w:tc>
      </w:tr>
      <w:tr>
        <w:tc>
          <w:tcPr>
            <w:tcW w:type="dxa" w:w="4680"/>
            <w:shd w:val="clear" w:color="auto" w:fill="EFF9FC"/>
          </w:tcPr>
          <w:p>
            <w:pPr>
              <w:jc w:val="left"/>
            </w:pPr>
            <w:r>
              <w:rPr>
                <w:rFonts w:ascii="Calibri" w:hAnsi="Calibri"/>
                <w:b/>
                <w:i w:val="0"/>
                <w:color w:val="0A2540"/>
                <w:sz w:val="18"/>
              </w:rPr>
              <w:t>62.1 fresh (Vbz)</w:t>
            </w:r>
          </w:p>
        </w:tc>
        <w:tc>
          <w:tcPr>
            <w:tcW w:type="dxa" w:w="4680"/>
            <w:shd w:val="clear" w:color="auto" w:fill="EFF9FC"/>
          </w:tcPr>
          <w:p>
            <w:pPr>
              <w:jc w:val="left"/>
            </w:pPr>
            <w:r>
              <w:rPr>
                <w:rFonts w:ascii="Calibri" w:hAnsi="Calibri"/>
                <w:b w:val="0"/>
                <w:i w:val="0"/>
                <w:sz w:val="18"/>
              </w:rPr>
              <w:t>Vbz = Rp * Pz + Ra * Az  (ASHRAE 62.1 Table 6-1)</w:t>
            </w:r>
          </w:p>
        </w:tc>
      </w:tr>
      <w:tr>
        <w:tc>
          <w:tcPr>
            <w:tcW w:type="dxa" w:w="4680"/>
            <w:shd w:val="clear" w:color="auto" w:fill="FFFFFF"/>
          </w:tcPr>
          <w:p>
            <w:pPr>
              <w:jc w:val="left"/>
            </w:pPr>
            <w:r>
              <w:rPr>
                <w:rFonts w:ascii="Calibri" w:hAnsi="Calibri"/>
                <w:b/>
                <w:i w:val="0"/>
                <w:color w:val="0A2540"/>
                <w:sz w:val="18"/>
              </w:rPr>
              <w:t>62.1 exhaust</w:t>
            </w:r>
          </w:p>
        </w:tc>
        <w:tc>
          <w:tcPr>
            <w:tcW w:type="dxa" w:w="4680"/>
            <w:shd w:val="clear" w:color="auto" w:fill="FFFFFF"/>
          </w:tcPr>
          <w:p>
            <w:pPr>
              <w:jc w:val="left"/>
            </w:pPr>
            <w:r>
              <w:rPr>
                <w:rFonts w:ascii="Calibri" w:hAnsi="Calibri"/>
                <w:b w:val="0"/>
                <w:i w:val="0"/>
                <w:sz w:val="18"/>
              </w:rPr>
              <w:t>Ve = rate * area  or  rate * count  (ASHRAE 62.1 Table 6-2)</w:t>
            </w:r>
          </w:p>
        </w:tc>
      </w:tr>
      <w:tr>
        <w:tc>
          <w:tcPr>
            <w:tcW w:type="dxa" w:w="4680"/>
            <w:shd w:val="clear" w:color="auto" w:fill="EFF9FC"/>
          </w:tcPr>
          <w:p>
            <w:pPr>
              <w:jc w:val="left"/>
            </w:pPr>
            <w:r>
              <w:rPr>
                <w:rFonts w:ascii="Calibri" w:hAnsi="Calibri"/>
                <w:b/>
                <w:i w:val="0"/>
                <w:color w:val="0A2540"/>
                <w:sz w:val="18"/>
              </w:rPr>
              <w:t>Attached extract (transfer air)</w:t>
            </w:r>
          </w:p>
        </w:tc>
        <w:tc>
          <w:tcPr>
            <w:tcW w:type="dxa" w:w="4680"/>
            <w:shd w:val="clear" w:color="auto" w:fill="EFF9FC"/>
          </w:tcPr>
          <w:p>
            <w:pPr>
              <w:jc w:val="left"/>
            </w:pPr>
            <w:r>
              <w:rPr>
                <w:rFonts w:ascii="Calibri" w:hAnsi="Calibri"/>
                <w:b w:val="0"/>
                <w:i w:val="0"/>
                <w:sz w:val="18"/>
              </w:rPr>
              <w:t>Vf = max(Vbz, sum(Ve,attached) * (1 + bal%)); Ve = max(sum(Ve,attached), Vf * (1 - bal%)) — attached rooms draw their share via transfer air, any remainder is exhausted from the main space itself</w:t>
            </w:r>
          </w:p>
        </w:tc>
      </w:tr>
      <w:tr>
        <w:tc>
          <w:tcPr>
            <w:tcW w:type="dxa" w:w="4680"/>
            <w:shd w:val="clear" w:color="auto" w:fill="FFFFFF"/>
          </w:tcPr>
          <w:p>
            <w:pPr>
              <w:jc w:val="left"/>
            </w:pPr>
            <w:r>
              <w:rPr>
                <w:rFonts w:ascii="Calibri" w:hAnsi="Calibri"/>
                <w:b/>
                <w:i w:val="0"/>
                <w:color w:val="0A2540"/>
                <w:sz w:val="18"/>
              </w:rPr>
              <w:t>62.2 continuous</w:t>
            </w:r>
          </w:p>
        </w:tc>
        <w:tc>
          <w:tcPr>
            <w:tcW w:type="dxa" w:w="4680"/>
            <w:shd w:val="clear" w:color="auto" w:fill="FFFFFF"/>
          </w:tcPr>
          <w:p>
            <w:pPr>
              <w:jc w:val="left"/>
            </w:pPr>
            <w:r>
              <w:rPr>
                <w:rFonts w:ascii="Calibri" w:hAnsi="Calibri"/>
                <w:b w:val="0"/>
                <w:i w:val="0"/>
                <w:sz w:val="18"/>
              </w:rPr>
              <w:t>Extract = kitchen + sum(bath) + sum(laundry);  Fresh = max(Extract * (1 + balance%), Qtot) — the # 4.1.1 whole-dwelling rate is a floor (# 4.1)</w:t>
            </w:r>
          </w:p>
        </w:tc>
      </w:tr>
      <w:tr>
        <w:tc>
          <w:tcPr>
            <w:tcW w:type="dxa" w:w="4680"/>
            <w:shd w:val="clear" w:color="auto" w:fill="EFF9FC"/>
          </w:tcPr>
          <w:p>
            <w:pPr>
              <w:jc w:val="left"/>
            </w:pPr>
            <w:r>
              <w:rPr>
                <w:rFonts w:ascii="Calibri" w:hAnsi="Calibri"/>
                <w:b/>
                <w:i w:val="0"/>
                <w:color w:val="0A2540"/>
                <w:sz w:val="18"/>
              </w:rPr>
              <w:t>62.2 whole-dwelling Qtot</w:t>
            </w:r>
          </w:p>
        </w:tc>
        <w:tc>
          <w:tcPr>
            <w:tcW w:type="dxa" w:w="4680"/>
            <w:shd w:val="clear" w:color="auto" w:fill="EFF9FC"/>
          </w:tcPr>
          <w:p>
            <w:pPr>
              <w:jc w:val="left"/>
            </w:pPr>
            <w:r>
              <w:rPr>
                <w:rFonts w:ascii="Calibri" w:hAnsi="Calibri"/>
                <w:b w:val="0"/>
                <w:i w:val="0"/>
                <w:sz w:val="18"/>
              </w:rPr>
              <w:t>Qtot = 0.15*A + 3.5*(Nbr+1) L/s (Eq. 4-1b)  [0.03*CFA + 7.5*(Nbr+1) CFM (Eq. 4-1a)]; Nbr not to be less than 1; + 3.5 L/s (7.5 CFM) per additional occupant entered (# 4.1.3); rounded to the nearest whole unit as Tables 4-1a/4-1b print</w:t>
            </w:r>
          </w:p>
        </w:tc>
      </w:tr>
      <w:tr>
        <w:tc>
          <w:tcPr>
            <w:tcW w:type="dxa" w:w="4680"/>
            <w:shd w:val="clear" w:color="auto" w:fill="FFFFFF"/>
          </w:tcPr>
          <w:p>
            <w:pPr>
              <w:jc w:val="left"/>
            </w:pPr>
            <w:r>
              <w:rPr>
                <w:rFonts w:ascii="Calibri" w:hAnsi="Calibri"/>
                <w:b/>
                <w:i w:val="0"/>
                <w:color w:val="0A2540"/>
                <w:sz w:val="18"/>
              </w:rPr>
              <w:t>62.2 non-continuous</w:t>
            </w:r>
          </w:p>
        </w:tc>
        <w:tc>
          <w:tcPr>
            <w:tcW w:type="dxa" w:w="4680"/>
            <w:shd w:val="clear" w:color="auto" w:fill="FFFFFF"/>
          </w:tcPr>
          <w:p>
            <w:pPr>
              <w:jc w:val="left"/>
            </w:pPr>
            <w:r>
              <w:rPr>
                <w:rFonts w:ascii="Calibri" w:hAnsi="Calibri"/>
                <w:b w:val="0"/>
                <w:i w:val="0"/>
                <w:sz w:val="18"/>
              </w:rPr>
              <w:t>Fresh = Qtot; exhaust = demand-controlled local exhaust (Table 5-1) — listed separately, excluded from the floor balance and the FAHU extract total</w:t>
            </w:r>
          </w:p>
        </w:tc>
      </w:tr>
      <w:tr>
        <w:tc>
          <w:tcPr>
            <w:tcW w:type="dxa" w:w="4680"/>
            <w:shd w:val="clear" w:color="auto" w:fill="EFF9FC"/>
          </w:tcPr>
          <w:p>
            <w:pPr>
              <w:jc w:val="left"/>
            </w:pPr>
            <w:r>
              <w:rPr>
                <w:rFonts w:ascii="Calibri" w:hAnsi="Calibri"/>
                <w:b/>
                <w:i w:val="0"/>
                <w:color w:val="0A2540"/>
                <w:sz w:val="18"/>
              </w:rPr>
              <w:t>ACH spaces</w:t>
            </w:r>
          </w:p>
        </w:tc>
        <w:tc>
          <w:tcPr>
            <w:tcW w:type="dxa" w:w="4680"/>
            <w:shd w:val="clear" w:color="auto" w:fill="EFF9FC"/>
          </w:tcPr>
          <w:p>
            <w:pPr>
              <w:jc w:val="left"/>
            </w:pPr>
            <w:r>
              <w:rPr>
                <w:rFonts w:ascii="Calibri" w:hAnsi="Calibri"/>
                <w:b w:val="0"/>
                <w:i w:val="0"/>
                <w:sz w:val="18"/>
              </w:rPr>
              <w:t>Primary = Volume * ACH / 3.6 [L/s];  balance% sets the opposite stream</w:t>
            </w:r>
          </w:p>
        </w:tc>
      </w:tr>
      <w:tr>
        <w:tc>
          <w:tcPr>
            <w:tcW w:type="dxa" w:w="4680"/>
            <w:shd w:val="clear" w:color="auto" w:fill="FFFFFF"/>
          </w:tcPr>
          <w:p>
            <w:pPr>
              <w:jc w:val="left"/>
            </w:pPr>
            <w:r>
              <w:rPr>
                <w:rFonts w:ascii="Calibri" w:hAnsi="Calibri"/>
                <w:b/>
                <w:i w:val="0"/>
                <w:color w:val="0A2540"/>
                <w:sz w:val="18"/>
              </w:rPr>
              <w:t>Extract Only spaces</w:t>
            </w:r>
          </w:p>
        </w:tc>
        <w:tc>
          <w:tcPr>
            <w:tcW w:type="dxa" w:w="4680"/>
            <w:shd w:val="clear" w:color="auto" w:fill="FFFFFF"/>
          </w:tcPr>
          <w:p>
            <w:pPr>
              <w:jc w:val="left"/>
            </w:pPr>
            <w:r>
              <w:rPr>
                <w:rFonts w:ascii="Calibri" w:hAnsi="Calibri"/>
                <w:b w:val="0"/>
                <w:i w:val="0"/>
                <w:sz w:val="18"/>
              </w:rPr>
              <w:t>Ve = sum(qty * rate) over the extract rows; Fresh = 0 by definition (makeup outside the FAHU system)</w:t>
            </w:r>
          </w:p>
        </w:tc>
      </w:tr>
      <w:tr>
        <w:tc>
          <w:tcPr>
            <w:tcW w:type="dxa" w:w="4680"/>
            <w:shd w:val="clear" w:color="auto" w:fill="EFF9FC"/>
          </w:tcPr>
          <w:p>
            <w:pPr>
              <w:jc w:val="left"/>
            </w:pPr>
            <w:r>
              <w:rPr>
                <w:rFonts w:ascii="Calibri" w:hAnsi="Calibri"/>
                <w:b/>
                <w:i w:val="0"/>
                <w:color w:val="0A2540"/>
                <w:sz w:val="18"/>
              </w:rPr>
              <w:t>Dedicated fan extract</w:t>
            </w:r>
          </w:p>
        </w:tc>
        <w:tc>
          <w:tcPr>
            <w:tcW w:type="dxa" w:w="4680"/>
            <w:shd w:val="clear" w:color="auto" w:fill="EFF9FC"/>
          </w:tcPr>
          <w:p>
            <w:pPr>
              <w:jc w:val="left"/>
            </w:pPr>
            <w:r>
              <w:rPr>
                <w:rFonts w:ascii="Calibri" w:hAnsi="Calibri"/>
                <w:b w:val="0"/>
                <w:i w:val="0"/>
                <w:sz w:val="18"/>
              </w:rPr>
              <w:t>Fan duty = sum(routed extract * typicality qty); routed flows are EXCLUDED from the FAHU extract; makeup air = transfer air (ASHRAE 62.1-2022 # 6.5)</w:t>
            </w:r>
          </w:p>
        </w:tc>
      </w:tr>
      <w:tr>
        <w:tc>
          <w:tcPr>
            <w:tcW w:type="dxa" w:w="4680"/>
            <w:shd w:val="clear" w:color="auto" w:fill="FFFFFF"/>
          </w:tcPr>
          <w:p>
            <w:pPr>
              <w:jc w:val="left"/>
            </w:pPr>
            <w:r>
              <w:rPr>
                <w:rFonts w:ascii="Calibri" w:hAnsi="Calibri"/>
                <w:b/>
                <w:i w:val="0"/>
                <w:color w:val="0A2540"/>
                <w:sz w:val="18"/>
              </w:rPr>
              <w:t>Fan operation (continuous / intermittent)</w:t>
            </w:r>
          </w:p>
        </w:tc>
        <w:tc>
          <w:tcPr>
            <w:tcW w:type="dxa" w:w="4680"/>
            <w:shd w:val="clear" w:color="auto" w:fill="FFFFFF"/>
          </w:tcPr>
          <w:p>
            <w:pPr>
              <w:jc w:val="left"/>
            </w:pPr>
            <w:r>
              <w:rPr>
                <w:rFonts w:ascii="Calibri" w:hAnsi="Calibri"/>
                <w:b w:val="0"/>
                <w:i w:val="0"/>
                <w:sz w:val="18"/>
              </w:rPr>
              <w:t>Continuous fans: duty counts in Net = Fresh - FAHU extract - continuous fan extract, and the FAHU carries the makeup inside the parent space's fresh air. Intermittent fans: EXCLUDED from the pressure balance and take no FAHU makeup — the space is balanced as if the routed extract did not exist; the fan duty itself is unchanged</w:t>
            </w:r>
          </w:p>
        </w:tc>
      </w:tr>
    </w:tbl>
    <w:p/>
    <w:p>
      <w:pPr>
        <w:pStyle w:val="Heading1"/>
        <w:pBdr>
          <w:bottom w:val="single" w:sz="6" w:space="4" w:color="0A2540"/>
        </w:pBdr>
      </w:pPr>
      <w:r>
        <w:rPr>
          <w:rFonts w:ascii="Calibri" w:hAnsi="Calibri"/>
          <w:b/>
          <w:color w:val="0A2540"/>
          <w:sz w:val="26"/>
        </w:rPr>
        <w:t>2.  Design Assumptions</w:t>
      </w:r>
    </w:p>
    <w:p>
      <w:pPr>
        <w:pStyle w:val="ListBullet"/>
      </w:pPr>
      <w:r>
        <w:rPr>
          <w:rFonts w:ascii="Calibri" w:hAnsi="Calibri"/>
          <w:color w:val="374151"/>
          <w:sz w:val="18"/>
        </w:rPr>
        <w:t>Apartment whole-dwelling fresh-air rates follow ASHRAE 62.2-2025; space ventilation rates follow ASHRAE 62.1-2022 (Tables 6-1 and 6-2).</w:t>
      </w:r>
    </w:p>
    <w:p>
      <w:pPr>
        <w:pStyle w:val="ListBullet"/>
      </w:pPr>
      <w:r>
        <w:rPr>
          <w:rFonts w:ascii="Calibri" w:hAnsi="Calibri"/>
          <w:color w:val="374151"/>
          <w:sz w:val="18"/>
        </w:rPr>
        <w:t>62.1 breathing-zone outdoor airflow uses the additive people-plus-area model: Vbz = Rp*Pz + Ra*Az, with Rp/Ra read from Table 6-1 for the selected space type. The issued fresh air is the breathing-zone outdoor airflow Vbz (Eq 6-1). Ez = 1.0 is assumed for Table 6-4 'ceiling supply of cool air'; for any other Table 6-4 configuration Voz = Vbz / Ez (Eq 6-2), and Addendum j multiplies by the air-density factor Eρ (Table 6-5; 1.00 at or below 158 m intake elevation). Neither Ez nor Eρ is applied by this tool.</w:t>
      </w:r>
    </w:p>
    <w:p>
      <w:pPr>
        <w:pStyle w:val="ListBullet"/>
      </w:pPr>
      <w:r>
        <w:rPr>
          <w:rFonts w:ascii="Calibri" w:hAnsi="Calibri"/>
          <w:color w:val="374151"/>
          <w:sz w:val="18"/>
        </w:rPr>
        <w:t>Exhaust (local) airflow follows ASHRAE 62.1 Table 6-2 on the basis printed for each row — EITHER a per-area rate (x the room's own area) OR a per-fixture rate (x the fixture count), never a combination or the larger of the two; the table prints one basis per row. Rows printed with two values (continuous / intermittent operation) are offered as separate types. Attached rows are printed EXACT (qty x printed rate, 1 dp) and the space's attached exhaust is rounded up ONCE, on the row total, to a whole L/s (whole CFM in I-P) - one private toilet at 12.5 L/s issues 13, two issue 25 whether entered as one row of 2 or two rows of 1. ASHRAE 62.1-2022 prints the rates only and no rounding rule; the single round-up is this tool's convention (Table 6-2 rates are minimums). Where rows are routed to dedicated fans, the whole-unit total is shared out by rounding each share down and giving the remainder to the largest share, so the FAHU and fan shares add up to the space total. Fixture counts are user-supplied. Arenas prints no SI rate (Table 6-2, note B): in an SI report its rate is the engineer's direct entry.</w:t>
      </w:r>
    </w:p>
    <w:p>
      <w:pPr>
        <w:pStyle w:val="ListBullet"/>
      </w:pPr>
      <w:r>
        <w:rPr>
          <w:rFonts w:ascii="Calibri" w:hAnsi="Calibri"/>
          <w:color w:val="374151"/>
          <w:sz w:val="18"/>
        </w:rPr>
        <w:t>Unit systems: each system follows the standard's OWN printed values - an I-P report is computed from the printed cfm rates (Tables 6-1 and 6-2, the fixture rates, 62.2 Eq 4-1a) and rounded up to whole CFM; an SI report from the printed L/s rates (62.2 Eq 4-1b) and whole L/s. The two are not conversions of one another and give slightly different results. Engineer-entered values (overrides, the ACH method, direct entries, custom fixtures, typed bathroom / laundry rates) are stored in SI and, in an I-P report, converted and rounded up once to a whole CFM (for attached-extract rows, once on the space total) - so every space, floor and FAHU total is the sum of the whole numbers printed for it. The indicative FAHU selection is always made on the SI total, printed beside each envelope.</w:t>
      </w:r>
    </w:p>
    <w:p>
      <w:pPr>
        <w:pStyle w:val="ListBullet"/>
      </w:pPr>
      <w:r>
        <w:rPr>
          <w:rFonts w:ascii="Calibri" w:hAnsi="Calibri"/>
          <w:color w:val="374151"/>
          <w:sz w:val="18"/>
        </w:rPr>
        <w:t>Public-bathroom fixture exhaust rates (private/public water closets, urinals and shower heads) are the intermittent per-fixture values printed in both ASHRAE 62.1-2022 Table 6-2 and IMC 2021 Table 403.3.1.1.</w:t>
      </w:r>
    </w:p>
    <w:p>
      <w:pPr>
        <w:pStyle w:val="ListBullet"/>
      </w:pPr>
      <w:r>
        <w:rPr>
          <w:rFonts w:ascii="Calibri" w:hAnsi="Calibri"/>
          <w:color w:val="374151"/>
          <w:sz w:val="18"/>
        </w:rPr>
        <w:t>Attached extract spaces (transfer-air rooms): per-area Table 6-2 rates use each attached room's OWN area. The main space receives all supply air at sum(attached extract) * (1 + balance%), floored at its own Vbz; air transfers to the attached rooms through door undercuts or transfer grilles. Total extract is the larger of the attached-room total and the pressure balance fresh * (1 - balance%) — any difference is exhausted from the main space itself (local extract).</w:t>
      </w:r>
    </w:p>
    <w:p>
      <w:pPr>
        <w:pStyle w:val="ListBullet"/>
      </w:pPr>
      <w:r>
        <w:rPr>
          <w:rFonts w:ascii="Calibri" w:hAnsi="Calibri"/>
          <w:color w:val="374151"/>
          <w:sz w:val="18"/>
        </w:rPr>
        <w:t>Manual overrides: the engineer's entered value is always used in the totals, and overridden fields are highlighted amber in the application. This report flags every overridden value (final and component).</w:t>
      </w:r>
    </w:p>
    <w:p>
      <w:pPr>
        <w:pStyle w:val="ListBullet"/>
      </w:pPr>
      <w:r>
        <w:rPr>
          <w:rFonts w:ascii="Calibri" w:hAnsi="Calibri"/>
          <w:color w:val="374151"/>
          <w:sz w:val="18"/>
        </w:rPr>
        <w:t>62.2 continuous mode: whole-dwelling extract is the sum of kitchen, bathroom and laundry fan rates; fresh air = the LARGER of extract*(1 + balance%) and the # 4.1.1 whole-dwelling rate Qtot [0.15*A + 3.5*(Nbr+1) L/s (Eq. 4-1b); 0.03*CFA + 7.5*(Nbr+1) CFM (Eq. 4-1a)] - # 4.1 requires a continuous rate not less than # 4.1.1 through # 4.1.4 (engineer ruling 2026-09-05; the # 4.1.3 adder of 3.5 L/s (7.5 CFM) per additional occupant is applied where entered). Non-continuous mode uses Qtot alone, with Nbr taken as not less than 1 (per the standard), independent of the exhaust total. Qtot is rounded to the nearest whole unit, the rounding Tables 4-1a / 4-1b print.</w:t>
      </w:r>
    </w:p>
    <w:p>
      <w:pPr>
        <w:pStyle w:val="ListBullet"/>
      </w:pPr>
      <w:r>
        <w:rPr>
          <w:rFonts w:ascii="Calibri" w:hAnsi="Calibri"/>
          <w:color w:val="374151"/>
          <w:sz w:val="18"/>
        </w:rPr>
        <w:t>Non-continuous apartments: their exhaust is DEMAND-CONTROLLED local exhaust (ASHRAE 62.2-2025 Table 5-1's own title) and, like an intermittent fan, is listed separately ('Intermittent - excl.' columns) and excluded from every floor pressure figure and from the FAHU extract total (engineer ruling 2026-09-05). The apartment's fresh air still counts in full.</w:t>
      </w:r>
    </w:p>
    <w:p>
      <w:pPr>
        <w:pStyle w:val="ListBullet"/>
      </w:pPr>
      <w:r>
        <w:rPr>
          <w:rFonts w:ascii="Calibri" w:hAnsi="Calibri"/>
          <w:color w:val="374151"/>
          <w:sz w:val="18"/>
        </w:rPr>
        <w:t>Kitchen exhaust minimums are enforced per mode on the ACH-derived value for any apartment WITH a kitchen (kitchen area &gt; 0): 25 L/s (50 CFM) continuous (engineering floor — 62.2-2025 Table 5-2 sets 5 ACH with no numeric floor), 50 L/s (100 CFM) non-continuous (62.2-2025 Table 5-1, vented range hood). A kitchen area of 0 means the apartment has no kitchen: kitchen exhaust = 0, no minimum applied, in both modes. A typed kitchen-exhaust value below the mode minimum is raised to it in BOTH modes: 25 L/s (50 CFM) continuous, 50 L/s (100 CFM) non-continuous (engineer ruling 2026-08-24).</w:t>
      </w:r>
    </w:p>
    <w:p>
      <w:pPr>
        <w:pStyle w:val="ListBullet"/>
      </w:pPr>
      <w:r>
        <w:rPr>
          <w:rFonts w:ascii="Calibri" w:hAnsi="Calibri"/>
          <w:color w:val="374151"/>
          <w:sz w:val="18"/>
        </w:rPr>
        <w:t>Bathroom rates: where the apartment's '62.2 printed rate' option is selected, the printed ASHRAE 62.2-2025 value for the mode is used — Table 5-1 (non-continuous / demand-controlled local exhaust) 50 cfm (25 L/s), Table 5-2 (continuous local exhaust) 20 cfm (10 L/s); otherwise the engineer's typed rate.</w:t>
      </w:r>
    </w:p>
    <w:p>
      <w:pPr>
        <w:pStyle w:val="ListBullet"/>
      </w:pPr>
      <w:r>
        <w:rPr>
          <w:rFonts w:ascii="Calibri" w:hAnsi="Calibri"/>
          <w:color w:val="374151"/>
          <w:sz w:val="18"/>
        </w:rPr>
        <w:t>Dwelling-unit fresh air is floored at the smallest printed cell of ASHRAE 62.2-2025 Table 4-1b, 14 L/s (&lt;47 m2, 1 bedroom), and of Table 4-1a, 30 CFM (&lt;500 ft2, 1 bedroom). IBC 2018 # 1202.1: natural ventilation per # 1202.5 or mechanical ventilation per the IMC; a dwelling unit whose tested air infiltration rate is less than 5 air changes per hour at 50 Pa shall be mechanically ventilated per IMC # 403. IBC prints no per-dwelling airflow.</w:t>
      </w:r>
    </w:p>
    <w:p>
      <w:pPr>
        <w:pStyle w:val="ListBullet"/>
      </w:pPr>
      <w:r>
        <w:rPr>
          <w:rFonts w:ascii="Calibri" w:hAnsi="Calibri"/>
          <w:color w:val="374151"/>
          <w:sz w:val="18"/>
        </w:rPr>
        <w:t>ACH-driven spaces convert air changes to a primary stream (Volume*ACH/3.6 [L/s]); the balance% then sets the opposite (supply or extract) stream to achieve the intended room pressure.</w:t>
      </w:r>
    </w:p>
    <w:p>
      <w:pPr>
        <w:pStyle w:val="ListBullet"/>
      </w:pPr>
      <w:r>
        <w:rPr>
          <w:rFonts w:ascii="Calibri" w:hAnsi="Calibri"/>
          <w:color w:val="374151"/>
          <w:sz w:val="18"/>
        </w:rPr>
        <w:t>Extract routed to a dedicated fan is excluded from the FAHU extract totals (the fan performs that duty). Where the routed extract belongs to an attached room of a Standard-mode space, its makeup air reaches the room as transfer air through the parent space and is already included in that space's fresh air — ASHRAE 62.1-2022 # 6.5 permits exhaust makeup air to be any combination of outdoor air, recirculated air, or transfer air. Extract Only spaces receive no FAHU makeup by definition (their makeup is provided outside the FAHU system, e.g. louvres or adjacent areas).</w:t>
      </w:r>
    </w:p>
    <w:p>
      <w:pPr>
        <w:pStyle w:val="ListBullet"/>
      </w:pPr>
      <w:r>
        <w:rPr>
          <w:rFonts w:ascii="Calibri" w:hAnsi="Calibri"/>
          <w:color w:val="374151"/>
          <w:sz w:val="18"/>
        </w:rPr>
        <w:t>Fans flagged INTERMITTENT (on-demand operation — timers, sensors) are excluded from every floor and building pressure figure, and their served extract takes no FAHU makeup: the space balance is computed as if that extract did not exist, so its fresh air can fall back to the Table 6-1 breathing-zone minimum. Makeup while the fan runs is transfer air (ASHRAE 62.1-2022 # 6.5 permits exhaust makeup air to be any combination of outdoor air, recirculated air, or transfer air); providing an adequate transfer path is a design responsibility outside this calculation. The fan is still sized for the full routed extract.</w:t>
      </w:r>
    </w:p>
    <w:p>
      <w:pPr>
        <w:pStyle w:val="ListBullet"/>
      </w:pPr>
      <w:r>
        <w:rPr>
          <w:rFonts w:ascii="Calibri" w:hAnsi="Calibri"/>
          <w:color w:val="374151"/>
          <w:sz w:val="18"/>
        </w:rPr>
        <w:t>Standard-space (62.1) figures are computed from the printed values of the report's unit system (I-P: Table 6-1 cfm rates on the area in ft2, Table 6-2 cfm rates, fixture cfm; SI: the L/s rates) and rounded up in that system; engineer-entered values (overrides, the ACH method, direct entries, custom fixtures) are stored in SI and converted at the report boundary. The 62.2 dwelling formulas are evaluated natively in each unit system, using the standard's dual printed equations, and every 62.2 rate is carried as its printed SI / I-P PAIR - an I-P report prints the printed cfm values (100 / 50 / 20 cfm; 62.2 Tables 5-1 and 5-2), never a re-converted SI figure; the record stores SI and the SI result is unchanged by the display choice.</w:t>
      </w:r>
    </w:p>
    <w:p>
      <w:pPr>
        <w:pStyle w:val="ListBullet"/>
      </w:pPr>
      <w:r>
        <w:rPr>
          <w:rFonts w:ascii="Calibri" w:hAnsi="Calibri"/>
          <w:color w:val="374151"/>
          <w:sz w:val="18"/>
        </w:rPr>
        <w:t>Default occupant densities (editable AHJ values): the automatic people count of a Standard space is density x area, rounded up; a people count typed by the engineer is used as typed.</w:t>
      </w:r>
    </w:p>
    <w:p>
      <w:pPr>
        <w:pStyle w:val="ListBullet"/>
      </w:pPr>
      <w:r>
        <w:rPr>
          <w:rFonts w:ascii="Calibri" w:hAnsi="Calibri"/>
          <w:color w:val="374151"/>
          <w:sz w:val="18"/>
        </w:rPr>
        <w:t>AHJ basis: Occupant density, Office Space 5 #/100 m2 (default)</w:t>
      </w:r>
    </w:p>
    <w:p>
      <w:pPr>
        <w:pStyle w:val="ListBullet"/>
      </w:pPr>
      <w:r>
        <w:rPr>
          <w:rFonts w:ascii="Calibri" w:hAnsi="Calibri"/>
          <w:color w:val="374151"/>
          <w:sz w:val="18"/>
        </w:rPr>
        <w:t>AHJ basis: Occupant density, Conference / Meeting 50 #/100 m2 (default)</w:t>
      </w:r>
    </w:p>
    <w:p>
      <w:pPr>
        <w:pStyle w:val="ListBullet"/>
      </w:pPr>
      <w:r>
        <w:rPr>
          <w:rFonts w:ascii="Calibri" w:hAnsi="Calibri"/>
          <w:color w:val="374151"/>
          <w:sz w:val="18"/>
        </w:rPr>
        <w:t>AHJ basis: Occupant density, Reception Areas 30 #/100 m2 (default)</w:t>
      </w:r>
    </w:p>
    <w:p>
      <w:pPr>
        <w:pStyle w:val="ListBullet"/>
      </w:pPr>
      <w:r>
        <w:rPr>
          <w:rFonts w:ascii="Calibri" w:hAnsi="Calibri"/>
          <w:color w:val="374151"/>
          <w:sz w:val="18"/>
        </w:rPr>
        <w:t>AHJ basis: Occupant density, Break Rooms 50 #/100 m2 (default)</w:t>
      </w:r>
    </w:p>
    <w:p>
      <w:pPr>
        <w:pStyle w:val="ListBullet"/>
      </w:pPr>
      <w:r>
        <w:rPr>
          <w:rFonts w:ascii="Calibri" w:hAnsi="Calibri"/>
          <w:color w:val="374151"/>
          <w:sz w:val="18"/>
        </w:rPr>
        <w:t>AHJ basis: Occupant density, Corridors (Office) 0 #/100 m2 (default)</w:t>
      </w:r>
    </w:p>
    <w:p>
      <w:pPr>
        <w:pStyle w:val="Heading1"/>
        <w:pBdr>
          <w:bottom w:val="single" w:sz="6" w:space="4" w:color="0A2540"/>
        </w:pBdr>
      </w:pPr>
      <w:r>
        <w:rPr>
          <w:rFonts w:ascii="Calibri" w:hAnsi="Calibri"/>
          <w:b/>
          <w:color w:val="0A2540"/>
          <w:sz w:val="26"/>
        </w:rPr>
        <w:t>3.  Spaces — ASHRAE 62.1-2022</w:t>
      </w:r>
    </w:p>
    <w:p>
      <w:r>
        <w:rPr>
          <w:rFonts w:ascii="Calibri" w:hAnsi="Calibri"/>
          <w:b/>
          <w:color w:val="0A2540"/>
          <w:sz w:val="22"/>
        </w:rPr>
        <w:t>Open Plan Office</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Mode</w:t>
            </w:r>
          </w:p>
        </w:tc>
        <w:tc>
          <w:tcPr>
            <w:tcW w:type="dxa" w:w="4680"/>
            <w:shd w:val="clear" w:color="auto" w:fill="EFF9FC"/>
          </w:tcPr>
          <w:p>
            <w:pPr>
              <w:jc w:val="left"/>
            </w:pPr>
            <w:r>
              <w:rPr>
                <w:rFonts w:ascii="Calibri" w:hAnsi="Calibri"/>
                <w:b/>
                <w:i w:val="0"/>
                <w:color w:val="0B3D91"/>
                <w:sz w:val="18"/>
              </w:rPr>
              <w:t>Standard</w:t>
            </w:r>
          </w:p>
        </w:tc>
      </w:tr>
      <w:tr>
        <w:tc>
          <w:tcPr>
            <w:tcW w:type="dxa" w:w="4680"/>
            <w:shd w:val="clear" w:color="auto" w:fill="FFFFFF"/>
          </w:tcPr>
          <w:p>
            <w:pPr>
              <w:jc w:val="left"/>
            </w:pPr>
            <w:r>
              <w:rPr>
                <w:rFonts w:ascii="Calibri" w:hAnsi="Calibri"/>
                <w:b w:val="0"/>
                <w:i w:val="0"/>
                <w:sz w:val="18"/>
              </w:rPr>
              <w:t>Type</w:t>
            </w:r>
          </w:p>
        </w:tc>
        <w:tc>
          <w:tcPr>
            <w:tcW w:type="dxa" w:w="4680"/>
            <w:shd w:val="clear" w:color="auto" w:fill="FFFFFF"/>
          </w:tcPr>
          <w:p>
            <w:pPr>
              <w:jc w:val="left"/>
            </w:pPr>
            <w:r>
              <w:rPr>
                <w:rFonts w:ascii="Calibri" w:hAnsi="Calibri"/>
                <w:b/>
                <w:i w:val="0"/>
                <w:color w:val="0B3D91"/>
                <w:sz w:val="18"/>
              </w:rPr>
              <w:t>Office Space</w:t>
            </w:r>
          </w:p>
        </w:tc>
      </w:tr>
      <w:tr>
        <w:tc>
          <w:tcPr>
            <w:tcW w:type="dxa" w:w="4680"/>
            <w:shd w:val="clear" w:color="auto" w:fill="EFF9FC"/>
          </w:tcPr>
          <w:p>
            <w:pPr>
              <w:jc w:val="left"/>
            </w:pPr>
            <w:r>
              <w:rPr>
                <w:rFonts w:ascii="Calibri" w:hAnsi="Calibri"/>
                <w:b w:val="0"/>
                <w:i w:val="0"/>
                <w:sz w:val="18"/>
              </w:rPr>
              <w:t>Area</w:t>
            </w:r>
          </w:p>
        </w:tc>
        <w:tc>
          <w:tcPr>
            <w:tcW w:type="dxa" w:w="4680"/>
            <w:shd w:val="clear" w:color="auto" w:fill="EFF9FC"/>
          </w:tcPr>
          <w:p>
            <w:pPr>
              <w:jc w:val="left"/>
            </w:pPr>
            <w:r>
              <w:rPr>
                <w:rFonts w:ascii="Calibri" w:hAnsi="Calibri"/>
                <w:b/>
                <w:i w:val="0"/>
                <w:color w:val="0B3D91"/>
                <w:sz w:val="18"/>
              </w:rPr>
              <w:t>820 m²</w:t>
            </w:r>
          </w:p>
        </w:tc>
      </w:tr>
      <w:tr>
        <w:tc>
          <w:tcPr>
            <w:tcW w:type="dxa" w:w="4680"/>
            <w:shd w:val="clear" w:color="auto" w:fill="FFFFFF"/>
          </w:tcPr>
          <w:p>
            <w:pPr>
              <w:jc w:val="left"/>
            </w:pPr>
            <w:r>
              <w:rPr>
                <w:rFonts w:ascii="Calibri" w:hAnsi="Calibri"/>
                <w:b w:val="0"/>
                <w:i w:val="0"/>
                <w:sz w:val="18"/>
              </w:rPr>
              <w:t>People</w:t>
            </w:r>
          </w:p>
        </w:tc>
        <w:tc>
          <w:tcPr>
            <w:tcW w:type="dxa" w:w="4680"/>
            <w:shd w:val="clear" w:color="auto" w:fill="FFFFFF"/>
          </w:tcPr>
          <w:p>
            <w:pPr>
              <w:jc w:val="left"/>
            </w:pPr>
            <w:r>
              <w:rPr>
                <w:rFonts w:ascii="Calibri" w:hAnsi="Calibri"/>
                <w:b/>
                <w:i w:val="0"/>
                <w:color w:val="0B3D91"/>
                <w:sz w:val="18"/>
              </w:rPr>
              <w:t>41</w:t>
            </w:r>
          </w:p>
        </w:tc>
      </w:tr>
      <w:tr>
        <w:tc>
          <w:tcPr>
            <w:tcW w:type="dxa" w:w="4680"/>
            <w:shd w:val="clear" w:color="auto" w:fill="EFF9FC"/>
          </w:tcPr>
          <w:p>
            <w:pPr>
              <w:jc w:val="left"/>
            </w:pPr>
            <w:r>
              <w:rPr>
                <w:rFonts w:ascii="Calibri" w:hAnsi="Calibri"/>
                <w:b w:val="0"/>
                <w:i w:val="0"/>
                <w:sz w:val="18"/>
              </w:rPr>
              <w:t>Balance %</w:t>
            </w:r>
          </w:p>
        </w:tc>
        <w:tc>
          <w:tcPr>
            <w:tcW w:type="dxa" w:w="4680"/>
            <w:shd w:val="clear" w:color="auto" w:fill="EFF9FC"/>
          </w:tcPr>
          <w:p>
            <w:pPr>
              <w:jc w:val="left"/>
            </w:pPr>
            <w:r>
              <w:rPr>
                <w:rFonts w:ascii="Calibri" w:hAnsi="Calibri"/>
                <w:b/>
                <w:i w:val="0"/>
                <w:color w:val="0B3D91"/>
                <w:sz w:val="18"/>
              </w:rPr>
              <w:t>10%</w:t>
            </w:r>
          </w:p>
        </w:tc>
      </w:tr>
      <w:tr>
        <w:tc>
          <w:tcPr>
            <w:tcW w:type="dxa" w:w="4680"/>
            <w:shd w:val="clear" w:color="auto" w:fill="FFFFFF"/>
          </w:tcPr>
          <w:p>
            <w:pPr>
              <w:jc w:val="left"/>
            </w:pPr>
            <w:r>
              <w:rPr>
                <w:rFonts w:ascii="Calibri" w:hAnsi="Calibri"/>
                <w:b w:val="0"/>
                <w:i w:val="0"/>
                <w:sz w:val="18"/>
              </w:rPr>
              <w:t>Uplift over Vbz</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Fresh Air</w:t>
            </w:r>
          </w:p>
        </w:tc>
        <w:tc>
          <w:tcPr>
            <w:tcW w:type="dxa" w:w="4680"/>
            <w:shd w:val="clear" w:color="auto" w:fill="EFF9FC"/>
          </w:tcPr>
          <w:p>
            <w:pPr>
              <w:jc w:val="left"/>
            </w:pPr>
            <w:r>
              <w:rPr>
                <w:rFonts w:ascii="Calibri" w:hAnsi="Calibri"/>
                <w:b/>
                <w:i w:val="0"/>
                <w:color w:val="0B3D91"/>
                <w:sz w:val="18"/>
              </w:rPr>
              <w:t>349 L/s</w:t>
            </w:r>
          </w:p>
        </w:tc>
      </w:tr>
      <w:tr>
        <w:tc>
          <w:tcPr>
            <w:tcW w:type="dxa" w:w="4680"/>
            <w:shd w:val="clear" w:color="auto" w:fill="FFFFFF"/>
          </w:tcPr>
          <w:p>
            <w:pPr>
              <w:jc w:val="left"/>
            </w:pPr>
            <w:r>
              <w:rPr>
                <w:rFonts w:ascii="Calibri" w:hAnsi="Calibri"/>
                <w:b w:val="0"/>
                <w:i w:val="0"/>
                <w:sz w:val="18"/>
              </w:rPr>
              <w:t>Extract</w:t>
            </w:r>
          </w:p>
        </w:tc>
        <w:tc>
          <w:tcPr>
            <w:tcW w:type="dxa" w:w="4680"/>
            <w:shd w:val="clear" w:color="auto" w:fill="FFFFFF"/>
          </w:tcPr>
          <w:p>
            <w:pPr>
              <w:jc w:val="left"/>
            </w:pPr>
            <w:r>
              <w:rPr>
                <w:rFonts w:ascii="Calibri" w:hAnsi="Calibri"/>
                <w:b/>
                <w:i w:val="0"/>
                <w:color w:val="0B3D91"/>
                <w:sz w:val="18"/>
              </w:rPr>
              <w:t>315 L/s  (280 in attached spaces + 35 local)</w:t>
            </w:r>
          </w:p>
        </w:tc>
      </w:tr>
    </w:tbl>
    <w:p/>
    <w:p>
      <w:r>
        <w:rPr>
          <w:rFonts w:ascii="Calibri" w:hAnsi="Calibri"/>
          <w:b/>
          <w:color w:val="0A2540"/>
          <w:sz w:val="22"/>
        </w:rPr>
        <w:t>Attached extract spaces — served by transfer air from Open Plan Office</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shd w:val="clear" w:color="auto" w:fill="0A2540"/>
          </w:tcPr>
          <w:p>
            <w:pPr>
              <w:jc w:val="center"/>
            </w:pPr>
            <w:r>
              <w:rPr>
                <w:rFonts w:ascii="Calibri" w:hAnsi="Calibri"/>
                <w:b/>
                <w:i w:val="0"/>
                <w:color w:val="FFFFFF"/>
                <w:sz w:val="18"/>
              </w:rPr>
              <w:t>Attached Space</w:t>
            </w:r>
          </w:p>
        </w:tc>
        <w:tc>
          <w:tcPr>
            <w:tcW w:type="dxa" w:w="1560"/>
            <w:shd w:val="clear" w:color="auto" w:fill="0A2540"/>
          </w:tcPr>
          <w:p>
            <w:pPr>
              <w:jc w:val="center"/>
            </w:pPr>
            <w:r>
              <w:rPr>
                <w:rFonts w:ascii="Calibri" w:hAnsi="Calibri"/>
                <w:b/>
                <w:i w:val="0"/>
                <w:color w:val="FFFFFF"/>
                <w:sz w:val="18"/>
              </w:rPr>
              <w:t>Qty</w:t>
            </w:r>
          </w:p>
        </w:tc>
        <w:tc>
          <w:tcPr>
            <w:tcW w:type="dxa" w:w="1560"/>
            <w:shd w:val="clear" w:color="auto" w:fill="0A2540"/>
          </w:tcPr>
          <w:p>
            <w:pPr>
              <w:jc w:val="center"/>
            </w:pPr>
            <w:r>
              <w:rPr>
                <w:rFonts w:ascii="Calibri" w:hAnsi="Calibri"/>
                <w:b/>
                <w:i w:val="0"/>
                <w:color w:val="FFFFFF"/>
                <w:sz w:val="18"/>
              </w:rPr>
              <w:t>Extract (L/s)</w:t>
            </w:r>
          </w:p>
        </w:tc>
        <w:tc>
          <w:tcPr>
            <w:tcW w:type="dxa" w:w="1560"/>
            <w:shd w:val="clear" w:color="auto" w:fill="0A2540"/>
          </w:tcPr>
          <w:p>
            <w:pPr>
              <w:jc w:val="center"/>
            </w:pPr>
            <w:r>
              <w:rPr>
                <w:rFonts w:ascii="Calibri" w:hAnsi="Calibri"/>
                <w:b/>
                <w:i w:val="0"/>
                <w:color w:val="FFFFFF"/>
                <w:sz w:val="18"/>
              </w:rPr>
              <w:t>How calculated</w:t>
            </w:r>
          </w:p>
        </w:tc>
        <w:tc>
          <w:tcPr>
            <w:tcW w:type="dxa" w:w="1560"/>
            <w:shd w:val="clear" w:color="auto" w:fill="0A2540"/>
          </w:tcPr>
          <w:p>
            <w:pPr>
              <w:jc w:val="center"/>
            </w:pPr>
            <w:r>
              <w:rPr>
                <w:rFonts w:ascii="Calibri" w:hAnsi="Calibri"/>
                <w:b/>
                <w:i w:val="0"/>
                <w:color w:val="FFFFFF"/>
                <w:sz w:val="18"/>
              </w:rPr>
              <w:t>Air Source</w:t>
            </w:r>
          </w:p>
        </w:tc>
        <w:tc>
          <w:tcPr>
            <w:tcW w:type="dxa" w:w="1560"/>
            <w:shd w:val="clear" w:color="auto" w:fill="0A2540"/>
          </w:tcPr>
          <w:p>
            <w:pPr>
              <w:jc w:val="center"/>
            </w:pPr>
            <w:r>
              <w:rPr>
                <w:rFonts w:ascii="Calibri" w:hAnsi="Calibri"/>
                <w:b/>
                <w:i w:val="0"/>
                <w:color w:val="FFFFFF"/>
                <w:sz w:val="18"/>
              </w:rPr>
              <w:t>Extract Via</w:t>
            </w:r>
          </w:p>
        </w:tc>
      </w:tr>
      <w:tr>
        <w:tc>
          <w:tcPr>
            <w:tcW w:type="dxa" w:w="1560"/>
            <w:shd w:val="clear" w:color="auto" w:fill="EFF9FC"/>
          </w:tcPr>
          <w:p>
            <w:pPr>
              <w:jc w:val="left"/>
            </w:pPr>
            <w:r>
              <w:rPr>
                <w:rFonts w:ascii="Calibri" w:hAnsi="Calibri"/>
                <w:b/>
                <w:i w:val="0"/>
                <w:sz w:val="18"/>
              </w:rPr>
              <w:t>Male / Female WCs</w:t>
            </w:r>
          </w:p>
        </w:tc>
        <w:tc>
          <w:tcPr>
            <w:tcW w:type="dxa" w:w="1560"/>
            <w:shd w:val="clear" w:color="auto" w:fill="EFF9FC"/>
          </w:tcPr>
          <w:p>
            <w:pPr>
              <w:jc w:val="left"/>
            </w:pPr>
            <w:r>
              <w:rPr>
                <w:rFonts w:ascii="Calibri" w:hAnsi="Calibri"/>
                <w:b w:val="0"/>
                <w:i w:val="0"/>
                <w:sz w:val="18"/>
              </w:rPr>
              <w:t>10</w:t>
            </w:r>
          </w:p>
        </w:tc>
        <w:tc>
          <w:tcPr>
            <w:tcW w:type="dxa" w:w="1560"/>
            <w:shd w:val="clear" w:color="auto" w:fill="EFF9FC"/>
          </w:tcPr>
          <w:p>
            <w:pPr>
              <w:jc w:val="left"/>
            </w:pPr>
            <w:r>
              <w:rPr>
                <w:rFonts w:ascii="Calibri" w:hAnsi="Calibri"/>
                <w:b w:val="0"/>
                <w:i w:val="0"/>
                <w:sz w:val="18"/>
              </w:rPr>
              <w:t>250.0</w:t>
            </w:r>
          </w:p>
        </w:tc>
        <w:tc>
          <w:tcPr>
            <w:tcW w:type="dxa" w:w="1560"/>
            <w:shd w:val="clear" w:color="auto" w:fill="EFF9FC"/>
          </w:tcPr>
          <w:p>
            <w:pPr>
              <w:jc w:val="left"/>
            </w:pPr>
            <w:r>
              <w:rPr>
                <w:rFonts w:ascii="Calibri" w:hAnsi="Calibri"/>
                <w:b w:val="0"/>
                <w:i w:val="0"/>
                <w:sz w:val="18"/>
              </w:rPr>
              <w:t>Per-fixture (Table 6-2) = 25 L/s;  × Qty 10 = 250.0 L/s</w:t>
            </w:r>
          </w:p>
        </w:tc>
        <w:tc>
          <w:tcPr>
            <w:tcW w:type="dxa" w:w="1560"/>
            <w:shd w:val="clear" w:color="auto" w:fill="EFF9FC"/>
          </w:tcPr>
          <w:p>
            <w:pPr>
              <w:jc w:val="left"/>
            </w:pPr>
            <w:r>
              <w:rPr>
                <w:rFonts w:ascii="Calibri" w:hAnsi="Calibri"/>
                <w:b w:val="0"/>
                <w:i w:val="0"/>
                <w:sz w:val="18"/>
              </w:rPr>
              <w:t>Transfer from Open Plan Office</w:t>
            </w:r>
          </w:p>
        </w:tc>
        <w:tc>
          <w:tcPr>
            <w:tcW w:type="dxa" w:w="1560"/>
            <w:shd w:val="clear" w:color="auto" w:fill="EFF9FC"/>
          </w:tcPr>
          <w:p>
            <w:pPr>
              <w:jc w:val="left"/>
            </w:pPr>
            <w:r>
              <w:rPr>
                <w:rFonts w:ascii="Calibri" w:hAnsi="Calibri"/>
                <w:b w:val="0"/>
                <w:i w:val="0"/>
                <w:color w:val="0B3D91"/>
                <w:sz w:val="18"/>
              </w:rPr>
              <w:t>FAHU</w:t>
            </w:r>
          </w:p>
        </w:tc>
      </w:tr>
      <w:tr>
        <w:tc>
          <w:tcPr>
            <w:tcW w:type="dxa" w:w="1560"/>
            <w:shd w:val="clear" w:color="auto" w:fill="FFFFFF"/>
          </w:tcPr>
          <w:p>
            <w:pPr>
              <w:jc w:val="left"/>
            </w:pPr>
            <w:r>
              <w:rPr>
                <w:rFonts w:ascii="Calibri" w:hAnsi="Calibri"/>
                <w:b/>
                <w:i w:val="0"/>
                <w:sz w:val="18"/>
              </w:rPr>
              <w:t>Janitor Closet</w:t>
            </w:r>
          </w:p>
        </w:tc>
        <w:tc>
          <w:tcPr>
            <w:tcW w:type="dxa" w:w="1560"/>
            <w:shd w:val="clear" w:color="auto" w:fill="FFFFFF"/>
          </w:tcPr>
          <w:p>
            <w:pPr>
              <w:jc w:val="left"/>
            </w:pPr>
            <w:r>
              <w:rPr>
                <w:rFonts w:ascii="Calibri" w:hAnsi="Calibri"/>
                <w:b w:val="0"/>
                <w:i w:val="0"/>
                <w:sz w:val="18"/>
              </w:rPr>
              <w:t>1</w:t>
            </w:r>
          </w:p>
        </w:tc>
        <w:tc>
          <w:tcPr>
            <w:tcW w:type="dxa" w:w="1560"/>
            <w:shd w:val="clear" w:color="auto" w:fill="FFFFFF"/>
          </w:tcPr>
          <w:p>
            <w:pPr>
              <w:jc w:val="left"/>
            </w:pPr>
            <w:r>
              <w:rPr>
                <w:rFonts w:ascii="Calibri" w:hAnsi="Calibri"/>
                <w:b w:val="0"/>
                <w:i w:val="0"/>
                <w:sz w:val="18"/>
              </w:rPr>
              <w:t>30.0</w:t>
            </w:r>
          </w:p>
        </w:tc>
        <w:tc>
          <w:tcPr>
            <w:tcW w:type="dxa" w:w="1560"/>
            <w:shd w:val="clear" w:color="auto" w:fill="FFFFFF"/>
          </w:tcPr>
          <w:p>
            <w:pPr>
              <w:jc w:val="left"/>
            </w:pPr>
            <w:r>
              <w:rPr>
                <w:rFonts w:ascii="Calibri" w:hAnsi="Calibri"/>
                <w:b w:val="0"/>
                <w:i w:val="0"/>
                <w:sz w:val="18"/>
              </w:rPr>
              <w:t>Area-based (Table 6-2): 6 m² × 5 L/s/m² = 30.0 L/s</w:t>
            </w:r>
          </w:p>
        </w:tc>
        <w:tc>
          <w:tcPr>
            <w:tcW w:type="dxa" w:w="1560"/>
            <w:shd w:val="clear" w:color="auto" w:fill="FFFFFF"/>
          </w:tcPr>
          <w:p>
            <w:pPr>
              <w:jc w:val="left"/>
            </w:pPr>
            <w:r>
              <w:rPr>
                <w:rFonts w:ascii="Calibri" w:hAnsi="Calibri"/>
                <w:b w:val="0"/>
                <w:i w:val="0"/>
                <w:sz w:val="18"/>
              </w:rPr>
              <w:t>Transfer from Open Plan Office</w:t>
            </w:r>
          </w:p>
        </w:tc>
        <w:tc>
          <w:tcPr>
            <w:tcW w:type="dxa" w:w="1560"/>
            <w:shd w:val="clear" w:color="auto" w:fill="FFFFFF"/>
          </w:tcPr>
          <w:p>
            <w:pPr>
              <w:jc w:val="left"/>
            </w:pPr>
            <w:r>
              <w:rPr>
                <w:rFonts w:ascii="Calibri" w:hAnsi="Calibri"/>
                <w:b w:val="0"/>
                <w:i w:val="0"/>
                <w:color w:val="0B3D91"/>
                <w:sz w:val="18"/>
              </w:rPr>
              <w:t>FAHU</w:t>
            </w:r>
          </w:p>
        </w:tc>
      </w:tr>
      <w:tr>
        <w:tc>
          <w:tcPr>
            <w:tcW w:type="dxa" w:w="1560"/>
            <w:shd w:val="clear" w:color="auto" w:fill="EFF9FC"/>
          </w:tcPr>
          <w:p>
            <w:pPr>
              <w:jc w:val="left"/>
            </w:pPr>
            <w:r>
              <w:rPr>
                <w:rFonts w:ascii="Calibri" w:hAnsi="Calibri"/>
                <w:b/>
                <w:i w:val="0"/>
                <w:sz w:val="18"/>
              </w:rPr>
              <w:t>Open Plan Office (local extract)</w:t>
            </w:r>
          </w:p>
        </w:tc>
        <w:tc>
          <w:tcPr>
            <w:tcW w:type="dxa" w:w="1560"/>
            <w:shd w:val="clear" w:color="auto" w:fill="EFF9FC"/>
          </w:tcPr>
          <w:p>
            <w:pPr>
              <w:jc w:val="left"/>
            </w:pPr>
            <w:r>
              <w:rPr>
                <w:rFonts w:ascii="Calibri" w:hAnsi="Calibri"/>
                <w:b w:val="0"/>
                <w:i w:val="0"/>
                <w:sz w:val="18"/>
              </w:rPr>
            </w:r>
          </w:p>
        </w:tc>
        <w:tc>
          <w:tcPr>
            <w:tcW w:type="dxa" w:w="1560"/>
            <w:shd w:val="clear" w:color="auto" w:fill="EFF9FC"/>
          </w:tcPr>
          <w:p>
            <w:pPr>
              <w:jc w:val="left"/>
            </w:pPr>
            <w:r>
              <w:rPr>
                <w:rFonts w:ascii="Calibri" w:hAnsi="Calibri"/>
                <w:b w:val="0"/>
                <w:i w:val="0"/>
                <w:sz w:val="18"/>
              </w:rPr>
              <w:t>35</w:t>
            </w:r>
          </w:p>
        </w:tc>
        <w:tc>
          <w:tcPr>
            <w:tcW w:type="dxa" w:w="1560"/>
            <w:shd w:val="clear" w:color="auto" w:fill="EFF9FC"/>
          </w:tcPr>
          <w:p>
            <w:pPr>
              <w:jc w:val="left"/>
            </w:pPr>
            <w:r>
              <w:rPr>
                <w:rFonts w:ascii="Calibri" w:hAnsi="Calibri"/>
                <w:b w:val="0"/>
                <w:i w:val="0"/>
                <w:sz w:val="18"/>
              </w:rPr>
              <w:t>Pressure-balance remainder (fresh × (1 − bal%))</w:t>
            </w:r>
          </w:p>
        </w:tc>
        <w:tc>
          <w:tcPr>
            <w:tcW w:type="dxa" w:w="1560"/>
            <w:shd w:val="clear" w:color="auto" w:fill="EFF9FC"/>
          </w:tcPr>
          <w:p>
            <w:pPr>
              <w:jc w:val="left"/>
            </w:pPr>
            <w:r>
              <w:rPr>
                <w:rFonts w:ascii="Calibri" w:hAnsi="Calibri"/>
                <w:b w:val="0"/>
                <w:i w:val="0"/>
                <w:sz w:val="18"/>
              </w:rPr>
              <w:t>Exhausted in main space</w:t>
            </w:r>
          </w:p>
        </w:tc>
        <w:tc>
          <w:tcPr>
            <w:tcW w:type="dxa" w:w="1560"/>
            <w:shd w:val="clear" w:color="auto" w:fill="EFF9FC"/>
          </w:tcPr>
          <w:p>
            <w:pPr>
              <w:jc w:val="left"/>
            </w:pPr>
            <w:r>
              <w:rPr>
                <w:rFonts w:ascii="Calibri" w:hAnsi="Calibri"/>
                <w:b w:val="0"/>
                <w:i w:val="0"/>
                <w:color w:val="0B3D91"/>
                <w:sz w:val="18"/>
              </w:rPr>
              <w:t>FAHU</w:t>
            </w:r>
          </w:p>
        </w:tc>
      </w:tr>
      <w:tr>
        <w:tc>
          <w:tcPr>
            <w:tcW w:type="dxa" w:w="1560"/>
            <w:shd w:val="clear" w:color="auto" w:fill="FFFFFF"/>
          </w:tcPr>
          <w:p>
            <w:pPr>
              <w:jc w:val="left"/>
            </w:pPr>
            <w:r>
              <w:rPr>
                <w:rFonts w:ascii="Calibri" w:hAnsi="Calibri"/>
                <w:b/>
                <w:i w:val="0"/>
                <w:sz w:val="18"/>
              </w:rPr>
              <w:t>TOTAL</w:t>
            </w:r>
          </w:p>
        </w:tc>
        <w:tc>
          <w:tcPr>
            <w:tcW w:type="dxa" w:w="1560"/>
            <w:shd w:val="clear" w:color="auto" w:fill="FFFFFF"/>
          </w:tcPr>
          <w:p>
            <w:pPr>
              <w:jc w:val="left"/>
            </w:pPr>
            <w:r>
              <w:rPr>
                <w:rFonts w:ascii="Calibri" w:hAnsi="Calibri"/>
                <w:b w:val="0"/>
                <w:i w:val="0"/>
                <w:sz w:val="18"/>
              </w:rPr>
            </w:r>
          </w:p>
        </w:tc>
        <w:tc>
          <w:tcPr>
            <w:tcW w:type="dxa" w:w="1560"/>
            <w:shd w:val="clear" w:color="auto" w:fill="FFFFFF"/>
          </w:tcPr>
          <w:p>
            <w:pPr>
              <w:jc w:val="left"/>
            </w:pPr>
            <w:r>
              <w:rPr>
                <w:rFonts w:ascii="Calibri" w:hAnsi="Calibri"/>
                <w:b w:val="0"/>
                <w:i w:val="0"/>
                <w:sz w:val="18"/>
              </w:rPr>
              <w:t>315</w:t>
            </w:r>
          </w:p>
        </w:tc>
        <w:tc>
          <w:tcPr>
            <w:tcW w:type="dxa" w:w="1560"/>
            <w:shd w:val="clear" w:color="auto" w:fill="FFFFFF"/>
          </w:tcPr>
          <w:p>
            <w:pPr>
              <w:jc w:val="left"/>
            </w:pPr>
            <w:r>
              <w:rPr>
                <w:rFonts w:ascii="Calibri" w:hAnsi="Calibri"/>
                <w:b w:val="0"/>
                <w:i w:val="0"/>
                <w:sz w:val="18"/>
              </w:rPr>
            </w:r>
          </w:p>
        </w:tc>
        <w:tc>
          <w:tcPr>
            <w:tcW w:type="dxa" w:w="1560"/>
            <w:shd w:val="clear" w:color="auto" w:fill="FFFFFF"/>
          </w:tcPr>
          <w:p>
            <w:pPr>
              <w:jc w:val="left"/>
            </w:pPr>
            <w:r>
              <w:rPr>
                <w:rFonts w:ascii="Calibri" w:hAnsi="Calibri"/>
                <w:b w:val="0"/>
                <w:i w:val="0"/>
                <w:sz w:val="18"/>
              </w:rPr>
            </w:r>
          </w:p>
        </w:tc>
        <w:tc>
          <w:tcPr>
            <w:tcW w:type="dxa" w:w="1560"/>
            <w:shd w:val="clear" w:color="auto" w:fill="FFFFFF"/>
          </w:tcPr>
          <w:p>
            <w:pPr>
              <w:jc w:val="left"/>
            </w:pPr>
            <w:r>
              <w:rPr>
                <w:rFonts w:ascii="Calibri" w:hAnsi="Calibri"/>
                <w:b w:val="0"/>
                <w:i w:val="0"/>
                <w:color w:val="0B3D91"/>
                <w:sz w:val="18"/>
              </w:rPr>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Open Plan Office — transfer-air supply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Vf = max(Vbz, ΣVe,att × (1 + bal%));  Ve = max(ΣVe,att, Vf × (1 − bal%))</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ΣVe,att = 280 L/s; 280 × (1 + 0.10) = 308.0; Vbz = 349 L/s (Table 6-1, Office Space); Ve = max(280, 349 × 0.90) = 315</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Fresh 349 L/s, Extract 315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All supply enters the main space; the attached rooms draw their extract via transfer air (door undercut / grille). The balance% surplus keeps the main space positively pressurised. The pressure balance requires more extract than the attached rooms take, so 35 L/s is exhausted from the main space itself.</w:t>
            </w:r>
          </w:p>
        </w:tc>
      </w:tr>
    </w:tbl>
    <w:p/>
    <w:p>
      <w:r>
        <w:rPr>
          <w:rFonts w:ascii="Calibri" w:hAnsi="Calibri"/>
          <w:b/>
          <w:color w:val="0A2540"/>
          <w:sz w:val="22"/>
        </w:rPr>
        <w:t>Meeting Room</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Mode</w:t>
            </w:r>
          </w:p>
        </w:tc>
        <w:tc>
          <w:tcPr>
            <w:tcW w:type="dxa" w:w="4680"/>
            <w:shd w:val="clear" w:color="auto" w:fill="EFF9FC"/>
          </w:tcPr>
          <w:p>
            <w:pPr>
              <w:jc w:val="left"/>
            </w:pPr>
            <w:r>
              <w:rPr>
                <w:rFonts w:ascii="Calibri" w:hAnsi="Calibri"/>
                <w:b/>
                <w:i w:val="0"/>
                <w:color w:val="0B3D91"/>
                <w:sz w:val="18"/>
              </w:rPr>
              <w:t>Standard</w:t>
            </w:r>
          </w:p>
        </w:tc>
      </w:tr>
      <w:tr>
        <w:tc>
          <w:tcPr>
            <w:tcW w:type="dxa" w:w="4680"/>
            <w:shd w:val="clear" w:color="auto" w:fill="FFFFFF"/>
          </w:tcPr>
          <w:p>
            <w:pPr>
              <w:jc w:val="left"/>
            </w:pPr>
            <w:r>
              <w:rPr>
                <w:rFonts w:ascii="Calibri" w:hAnsi="Calibri"/>
                <w:b w:val="0"/>
                <w:i w:val="0"/>
                <w:sz w:val="18"/>
              </w:rPr>
              <w:t>Type</w:t>
            </w:r>
          </w:p>
        </w:tc>
        <w:tc>
          <w:tcPr>
            <w:tcW w:type="dxa" w:w="4680"/>
            <w:shd w:val="clear" w:color="auto" w:fill="FFFFFF"/>
          </w:tcPr>
          <w:p>
            <w:pPr>
              <w:jc w:val="left"/>
            </w:pPr>
            <w:r>
              <w:rPr>
                <w:rFonts w:ascii="Calibri" w:hAnsi="Calibri"/>
                <w:b/>
                <w:i w:val="0"/>
                <w:color w:val="0B3D91"/>
                <w:sz w:val="18"/>
              </w:rPr>
              <w:t>Conference / Meeting</w:t>
            </w:r>
          </w:p>
        </w:tc>
      </w:tr>
      <w:tr>
        <w:tc>
          <w:tcPr>
            <w:tcW w:type="dxa" w:w="4680"/>
            <w:shd w:val="clear" w:color="auto" w:fill="EFF9FC"/>
          </w:tcPr>
          <w:p>
            <w:pPr>
              <w:jc w:val="left"/>
            </w:pPr>
            <w:r>
              <w:rPr>
                <w:rFonts w:ascii="Calibri" w:hAnsi="Calibri"/>
                <w:b w:val="0"/>
                <w:i w:val="0"/>
                <w:sz w:val="18"/>
              </w:rPr>
              <w:t>Area</w:t>
            </w:r>
          </w:p>
        </w:tc>
        <w:tc>
          <w:tcPr>
            <w:tcW w:type="dxa" w:w="4680"/>
            <w:shd w:val="clear" w:color="auto" w:fill="EFF9FC"/>
          </w:tcPr>
          <w:p>
            <w:pPr>
              <w:jc w:val="left"/>
            </w:pPr>
            <w:r>
              <w:rPr>
                <w:rFonts w:ascii="Calibri" w:hAnsi="Calibri"/>
                <w:b/>
                <w:i w:val="0"/>
                <w:color w:val="0B3D91"/>
                <w:sz w:val="18"/>
              </w:rPr>
              <w:t>45 m²</w:t>
            </w:r>
          </w:p>
        </w:tc>
      </w:tr>
      <w:tr>
        <w:tc>
          <w:tcPr>
            <w:tcW w:type="dxa" w:w="4680"/>
            <w:shd w:val="clear" w:color="auto" w:fill="FFFFFF"/>
          </w:tcPr>
          <w:p>
            <w:pPr>
              <w:jc w:val="left"/>
            </w:pPr>
            <w:r>
              <w:rPr>
                <w:rFonts w:ascii="Calibri" w:hAnsi="Calibri"/>
                <w:b w:val="0"/>
                <w:i w:val="0"/>
                <w:sz w:val="18"/>
              </w:rPr>
              <w:t>People</w:t>
            </w:r>
          </w:p>
        </w:tc>
        <w:tc>
          <w:tcPr>
            <w:tcW w:type="dxa" w:w="4680"/>
            <w:shd w:val="clear" w:color="auto" w:fill="FFFFFF"/>
          </w:tcPr>
          <w:p>
            <w:pPr>
              <w:jc w:val="left"/>
            </w:pPr>
            <w:r>
              <w:rPr>
                <w:rFonts w:ascii="Calibri" w:hAnsi="Calibri"/>
                <w:b/>
                <w:i w:val="0"/>
                <w:color w:val="0B3D91"/>
                <w:sz w:val="18"/>
              </w:rPr>
              <w:t>23</w:t>
            </w:r>
          </w:p>
        </w:tc>
      </w:tr>
      <w:tr>
        <w:tc>
          <w:tcPr>
            <w:tcW w:type="dxa" w:w="4680"/>
            <w:shd w:val="clear" w:color="auto" w:fill="EFF9FC"/>
          </w:tcPr>
          <w:p>
            <w:pPr>
              <w:jc w:val="left"/>
            </w:pPr>
            <w:r>
              <w:rPr>
                <w:rFonts w:ascii="Calibri" w:hAnsi="Calibri"/>
                <w:b w:val="0"/>
                <w:i w:val="0"/>
                <w:sz w:val="18"/>
              </w:rPr>
              <w:t>Balance %</w:t>
            </w:r>
          </w:p>
        </w:tc>
        <w:tc>
          <w:tcPr>
            <w:tcW w:type="dxa" w:w="4680"/>
            <w:shd w:val="clear" w:color="auto" w:fill="EFF9FC"/>
          </w:tcPr>
          <w:p>
            <w:pPr>
              <w:jc w:val="left"/>
            </w:pPr>
            <w:r>
              <w:rPr>
                <w:rFonts w:ascii="Calibri" w:hAnsi="Calibri"/>
                <w:b/>
                <w:i w:val="0"/>
                <w:color w:val="0B3D91"/>
                <w:sz w:val="18"/>
              </w:rPr>
              <w:t>10%</w:t>
            </w:r>
          </w:p>
        </w:tc>
      </w:tr>
      <w:tr>
        <w:tc>
          <w:tcPr>
            <w:tcW w:type="dxa" w:w="4680"/>
            <w:shd w:val="clear" w:color="auto" w:fill="FFFFFF"/>
          </w:tcPr>
          <w:p>
            <w:pPr>
              <w:jc w:val="left"/>
            </w:pPr>
            <w:r>
              <w:rPr>
                <w:rFonts w:ascii="Calibri" w:hAnsi="Calibri"/>
                <w:b w:val="0"/>
                <w:i w:val="0"/>
                <w:sz w:val="18"/>
              </w:rPr>
              <w:t>Uplift over Vbz</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Fresh Air</w:t>
            </w:r>
          </w:p>
        </w:tc>
        <w:tc>
          <w:tcPr>
            <w:tcW w:type="dxa" w:w="4680"/>
            <w:shd w:val="clear" w:color="auto" w:fill="EFF9FC"/>
          </w:tcPr>
          <w:p>
            <w:pPr>
              <w:jc w:val="left"/>
            </w:pPr>
            <w:r>
              <w:rPr>
                <w:rFonts w:ascii="Calibri" w:hAnsi="Calibri"/>
                <w:b/>
                <w:i w:val="0"/>
                <w:color w:val="0B3D91"/>
                <w:sz w:val="18"/>
              </w:rPr>
              <w:t>71 L/s</w:t>
            </w:r>
          </w:p>
        </w:tc>
      </w:tr>
      <w:tr>
        <w:tc>
          <w:tcPr>
            <w:tcW w:type="dxa" w:w="4680"/>
            <w:shd w:val="clear" w:color="auto" w:fill="FFFFFF"/>
          </w:tcPr>
          <w:p>
            <w:pPr>
              <w:jc w:val="left"/>
            </w:pPr>
            <w:r>
              <w:rPr>
                <w:rFonts w:ascii="Calibri" w:hAnsi="Calibri"/>
                <w:b w:val="0"/>
                <w:i w:val="0"/>
                <w:sz w:val="18"/>
              </w:rPr>
              <w:t>Extract</w:t>
            </w:r>
          </w:p>
        </w:tc>
        <w:tc>
          <w:tcPr>
            <w:tcW w:type="dxa" w:w="4680"/>
            <w:shd w:val="clear" w:color="auto" w:fill="FFFFFF"/>
          </w:tcPr>
          <w:p>
            <w:pPr>
              <w:jc w:val="left"/>
            </w:pPr>
            <w:r>
              <w:rPr>
                <w:rFonts w:ascii="Calibri" w:hAnsi="Calibri"/>
                <w:b/>
                <w:i w:val="0"/>
                <w:color w:val="0B3D91"/>
                <w:sz w:val="18"/>
              </w:rPr>
              <w:t>64 L/s</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Meeting Room — breathing-zone outdoor air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Vbz = Rp*Pz + Ra*Az   (ASHRAE 62.1 Table 6-1)</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People Pz = 23, Area Az = 45 m²; Rp/Ra per Table 6-1; Vbz = 71 L/s (Table 6-1, Conference / Meeting)</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Fresh 71 L/s, Extract 64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The issued fresh air is Vbz (Eq 6-1); Ez = 1.0 is assumed for Table 6-4 'ceiling supply of cool air'. For another Table 6-4 configuration Voz = Vbz / Ez (Eq 6-2), and Addendum j multiplies by Eρ (Table 6-5) - neither is applied here.</w:t>
            </w:r>
          </w:p>
        </w:tc>
      </w:tr>
    </w:tbl>
    <w:p/>
    <w:p>
      <w:r>
        <w:rPr>
          <w:rFonts w:ascii="Calibri" w:hAnsi="Calibri"/>
          <w:b/>
          <w:color w:val="0A2540"/>
          <w:sz w:val="22"/>
        </w:rPr>
        <w:t>Floor Reception</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Mode</w:t>
            </w:r>
          </w:p>
        </w:tc>
        <w:tc>
          <w:tcPr>
            <w:tcW w:type="dxa" w:w="4680"/>
            <w:shd w:val="clear" w:color="auto" w:fill="EFF9FC"/>
          </w:tcPr>
          <w:p>
            <w:pPr>
              <w:jc w:val="left"/>
            </w:pPr>
            <w:r>
              <w:rPr>
                <w:rFonts w:ascii="Calibri" w:hAnsi="Calibri"/>
                <w:b/>
                <w:i w:val="0"/>
                <w:color w:val="0B3D91"/>
                <w:sz w:val="18"/>
              </w:rPr>
              <w:t>Standard</w:t>
            </w:r>
          </w:p>
        </w:tc>
      </w:tr>
      <w:tr>
        <w:tc>
          <w:tcPr>
            <w:tcW w:type="dxa" w:w="4680"/>
            <w:shd w:val="clear" w:color="auto" w:fill="FFFFFF"/>
          </w:tcPr>
          <w:p>
            <w:pPr>
              <w:jc w:val="left"/>
            </w:pPr>
            <w:r>
              <w:rPr>
                <w:rFonts w:ascii="Calibri" w:hAnsi="Calibri"/>
                <w:b w:val="0"/>
                <w:i w:val="0"/>
                <w:sz w:val="18"/>
              </w:rPr>
              <w:t>Type</w:t>
            </w:r>
          </w:p>
        </w:tc>
        <w:tc>
          <w:tcPr>
            <w:tcW w:type="dxa" w:w="4680"/>
            <w:shd w:val="clear" w:color="auto" w:fill="FFFFFF"/>
          </w:tcPr>
          <w:p>
            <w:pPr>
              <w:jc w:val="left"/>
            </w:pPr>
            <w:r>
              <w:rPr>
                <w:rFonts w:ascii="Calibri" w:hAnsi="Calibri"/>
                <w:b/>
                <w:i w:val="0"/>
                <w:color w:val="0B3D91"/>
                <w:sz w:val="18"/>
              </w:rPr>
              <w:t>Reception Areas</w:t>
            </w:r>
          </w:p>
        </w:tc>
      </w:tr>
      <w:tr>
        <w:tc>
          <w:tcPr>
            <w:tcW w:type="dxa" w:w="4680"/>
            <w:shd w:val="clear" w:color="auto" w:fill="EFF9FC"/>
          </w:tcPr>
          <w:p>
            <w:pPr>
              <w:jc w:val="left"/>
            </w:pPr>
            <w:r>
              <w:rPr>
                <w:rFonts w:ascii="Calibri" w:hAnsi="Calibri"/>
                <w:b w:val="0"/>
                <w:i w:val="0"/>
                <w:sz w:val="18"/>
              </w:rPr>
              <w:t>Area</w:t>
            </w:r>
          </w:p>
        </w:tc>
        <w:tc>
          <w:tcPr>
            <w:tcW w:type="dxa" w:w="4680"/>
            <w:shd w:val="clear" w:color="auto" w:fill="EFF9FC"/>
          </w:tcPr>
          <w:p>
            <w:pPr>
              <w:jc w:val="left"/>
            </w:pPr>
            <w:r>
              <w:rPr>
                <w:rFonts w:ascii="Calibri" w:hAnsi="Calibri"/>
                <w:b/>
                <w:i w:val="0"/>
                <w:color w:val="0B3D91"/>
                <w:sz w:val="18"/>
              </w:rPr>
              <w:t>40 m²</w:t>
            </w:r>
          </w:p>
        </w:tc>
      </w:tr>
      <w:tr>
        <w:tc>
          <w:tcPr>
            <w:tcW w:type="dxa" w:w="4680"/>
            <w:shd w:val="clear" w:color="auto" w:fill="FFFFFF"/>
          </w:tcPr>
          <w:p>
            <w:pPr>
              <w:jc w:val="left"/>
            </w:pPr>
            <w:r>
              <w:rPr>
                <w:rFonts w:ascii="Calibri" w:hAnsi="Calibri"/>
                <w:b w:val="0"/>
                <w:i w:val="0"/>
                <w:sz w:val="18"/>
              </w:rPr>
              <w:t>People</w:t>
            </w:r>
          </w:p>
        </w:tc>
        <w:tc>
          <w:tcPr>
            <w:tcW w:type="dxa" w:w="4680"/>
            <w:shd w:val="clear" w:color="auto" w:fill="FFFFFF"/>
          </w:tcPr>
          <w:p>
            <w:pPr>
              <w:jc w:val="left"/>
            </w:pPr>
            <w:r>
              <w:rPr>
                <w:rFonts w:ascii="Calibri" w:hAnsi="Calibri"/>
                <w:b/>
                <w:i w:val="0"/>
                <w:color w:val="0B3D91"/>
                <w:sz w:val="18"/>
              </w:rPr>
              <w:t>12</w:t>
            </w:r>
          </w:p>
        </w:tc>
      </w:tr>
      <w:tr>
        <w:tc>
          <w:tcPr>
            <w:tcW w:type="dxa" w:w="4680"/>
            <w:shd w:val="clear" w:color="auto" w:fill="EFF9FC"/>
          </w:tcPr>
          <w:p>
            <w:pPr>
              <w:jc w:val="left"/>
            </w:pPr>
            <w:r>
              <w:rPr>
                <w:rFonts w:ascii="Calibri" w:hAnsi="Calibri"/>
                <w:b w:val="0"/>
                <w:i w:val="0"/>
                <w:sz w:val="18"/>
              </w:rPr>
              <w:t>Balance %</w:t>
            </w:r>
          </w:p>
        </w:tc>
        <w:tc>
          <w:tcPr>
            <w:tcW w:type="dxa" w:w="4680"/>
            <w:shd w:val="clear" w:color="auto" w:fill="EFF9FC"/>
          </w:tcPr>
          <w:p>
            <w:pPr>
              <w:jc w:val="left"/>
            </w:pPr>
            <w:r>
              <w:rPr>
                <w:rFonts w:ascii="Calibri" w:hAnsi="Calibri"/>
                <w:b/>
                <w:i w:val="0"/>
                <w:color w:val="0B3D91"/>
                <w:sz w:val="18"/>
              </w:rPr>
              <w:t>10%</w:t>
            </w:r>
          </w:p>
        </w:tc>
      </w:tr>
      <w:tr>
        <w:tc>
          <w:tcPr>
            <w:tcW w:type="dxa" w:w="4680"/>
            <w:shd w:val="clear" w:color="auto" w:fill="FFFFFF"/>
          </w:tcPr>
          <w:p>
            <w:pPr>
              <w:jc w:val="left"/>
            </w:pPr>
            <w:r>
              <w:rPr>
                <w:rFonts w:ascii="Calibri" w:hAnsi="Calibri"/>
                <w:b w:val="0"/>
                <w:i w:val="0"/>
                <w:sz w:val="18"/>
              </w:rPr>
              <w:t>Uplift over Vbz</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Fresh Air</w:t>
            </w:r>
          </w:p>
        </w:tc>
        <w:tc>
          <w:tcPr>
            <w:tcW w:type="dxa" w:w="4680"/>
            <w:shd w:val="clear" w:color="auto" w:fill="EFF9FC"/>
          </w:tcPr>
          <w:p>
            <w:pPr>
              <w:jc w:val="left"/>
            </w:pPr>
            <w:r>
              <w:rPr>
                <w:rFonts w:ascii="Calibri" w:hAnsi="Calibri"/>
                <w:b/>
                <w:i w:val="0"/>
                <w:color w:val="0B3D91"/>
                <w:sz w:val="18"/>
              </w:rPr>
              <w:t>42 L/s</w:t>
            </w:r>
          </w:p>
        </w:tc>
      </w:tr>
      <w:tr>
        <w:tc>
          <w:tcPr>
            <w:tcW w:type="dxa" w:w="4680"/>
            <w:shd w:val="clear" w:color="auto" w:fill="FFFFFF"/>
          </w:tcPr>
          <w:p>
            <w:pPr>
              <w:jc w:val="left"/>
            </w:pPr>
            <w:r>
              <w:rPr>
                <w:rFonts w:ascii="Calibri" w:hAnsi="Calibri"/>
                <w:b w:val="0"/>
                <w:i w:val="0"/>
                <w:sz w:val="18"/>
              </w:rPr>
              <w:t>Extract</w:t>
            </w:r>
          </w:p>
        </w:tc>
        <w:tc>
          <w:tcPr>
            <w:tcW w:type="dxa" w:w="4680"/>
            <w:shd w:val="clear" w:color="auto" w:fill="FFFFFF"/>
          </w:tcPr>
          <w:p>
            <w:pPr>
              <w:jc w:val="left"/>
            </w:pPr>
            <w:r>
              <w:rPr>
                <w:rFonts w:ascii="Calibri" w:hAnsi="Calibri"/>
                <w:b/>
                <w:i w:val="0"/>
                <w:color w:val="0B3D91"/>
                <w:sz w:val="18"/>
              </w:rPr>
              <w:t>38 L/s</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Floor Reception — breathing-zone outdoor air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Vbz = Rp*Pz + Ra*Az   (ASHRAE 62.1 Table 6-1)</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People Pz = 12, Area Az = 40 m²; Rp/Ra per Table 6-1; Vbz = 42 L/s (Table 6-1, Reception Areas)</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Fresh 42 L/s, Extract 38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The issued fresh air is Vbz (Eq 6-1); Ez = 1.0 is assumed for Table 6-4 'ceiling supply of cool air'. For another Table 6-4 configuration Voz = Vbz / Ez (Eq 6-2), and Addendum j multiplies by Eρ (Table 6-5) - neither is applied here.</w:t>
            </w:r>
          </w:p>
        </w:tc>
      </w:tr>
    </w:tbl>
    <w:p/>
    <w:p>
      <w:r>
        <w:rPr>
          <w:rFonts w:ascii="Calibri" w:hAnsi="Calibri"/>
          <w:b/>
          <w:color w:val="0A2540"/>
          <w:sz w:val="22"/>
        </w:rPr>
        <w:t>Pantry / Break Room</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Mode</w:t>
            </w:r>
          </w:p>
        </w:tc>
        <w:tc>
          <w:tcPr>
            <w:tcW w:type="dxa" w:w="4680"/>
            <w:shd w:val="clear" w:color="auto" w:fill="EFF9FC"/>
          </w:tcPr>
          <w:p>
            <w:pPr>
              <w:jc w:val="left"/>
            </w:pPr>
            <w:r>
              <w:rPr>
                <w:rFonts w:ascii="Calibri" w:hAnsi="Calibri"/>
                <w:b/>
                <w:i w:val="0"/>
                <w:color w:val="0B3D91"/>
                <w:sz w:val="18"/>
              </w:rPr>
              <w:t>Standard</w:t>
            </w:r>
          </w:p>
        </w:tc>
      </w:tr>
      <w:tr>
        <w:tc>
          <w:tcPr>
            <w:tcW w:type="dxa" w:w="4680"/>
            <w:shd w:val="clear" w:color="auto" w:fill="FFFFFF"/>
          </w:tcPr>
          <w:p>
            <w:pPr>
              <w:jc w:val="left"/>
            </w:pPr>
            <w:r>
              <w:rPr>
                <w:rFonts w:ascii="Calibri" w:hAnsi="Calibri"/>
                <w:b w:val="0"/>
                <w:i w:val="0"/>
                <w:sz w:val="18"/>
              </w:rPr>
              <w:t>Type</w:t>
            </w:r>
          </w:p>
        </w:tc>
        <w:tc>
          <w:tcPr>
            <w:tcW w:type="dxa" w:w="4680"/>
            <w:shd w:val="clear" w:color="auto" w:fill="FFFFFF"/>
          </w:tcPr>
          <w:p>
            <w:pPr>
              <w:jc w:val="left"/>
            </w:pPr>
            <w:r>
              <w:rPr>
                <w:rFonts w:ascii="Calibri" w:hAnsi="Calibri"/>
                <w:b/>
                <w:i w:val="0"/>
                <w:color w:val="0B3D91"/>
                <w:sz w:val="18"/>
              </w:rPr>
              <w:t>Break Rooms</w:t>
            </w:r>
          </w:p>
        </w:tc>
      </w:tr>
      <w:tr>
        <w:tc>
          <w:tcPr>
            <w:tcW w:type="dxa" w:w="4680"/>
            <w:shd w:val="clear" w:color="auto" w:fill="EFF9FC"/>
          </w:tcPr>
          <w:p>
            <w:pPr>
              <w:jc w:val="left"/>
            </w:pPr>
            <w:r>
              <w:rPr>
                <w:rFonts w:ascii="Calibri" w:hAnsi="Calibri"/>
                <w:b w:val="0"/>
                <w:i w:val="0"/>
                <w:sz w:val="18"/>
              </w:rPr>
              <w:t>Area</w:t>
            </w:r>
          </w:p>
        </w:tc>
        <w:tc>
          <w:tcPr>
            <w:tcW w:type="dxa" w:w="4680"/>
            <w:shd w:val="clear" w:color="auto" w:fill="EFF9FC"/>
          </w:tcPr>
          <w:p>
            <w:pPr>
              <w:jc w:val="left"/>
            </w:pPr>
            <w:r>
              <w:rPr>
                <w:rFonts w:ascii="Calibri" w:hAnsi="Calibri"/>
                <w:b/>
                <w:i w:val="0"/>
                <w:color w:val="0B3D91"/>
                <w:sz w:val="18"/>
              </w:rPr>
              <w:t>30 m²</w:t>
            </w:r>
          </w:p>
        </w:tc>
      </w:tr>
      <w:tr>
        <w:tc>
          <w:tcPr>
            <w:tcW w:type="dxa" w:w="4680"/>
            <w:shd w:val="clear" w:color="auto" w:fill="FFFFFF"/>
          </w:tcPr>
          <w:p>
            <w:pPr>
              <w:jc w:val="left"/>
            </w:pPr>
            <w:r>
              <w:rPr>
                <w:rFonts w:ascii="Calibri" w:hAnsi="Calibri"/>
                <w:b w:val="0"/>
                <w:i w:val="0"/>
                <w:sz w:val="18"/>
              </w:rPr>
              <w:t>People</w:t>
            </w:r>
          </w:p>
        </w:tc>
        <w:tc>
          <w:tcPr>
            <w:tcW w:type="dxa" w:w="4680"/>
            <w:shd w:val="clear" w:color="auto" w:fill="FFFFFF"/>
          </w:tcPr>
          <w:p>
            <w:pPr>
              <w:jc w:val="left"/>
            </w:pPr>
            <w:r>
              <w:rPr>
                <w:rFonts w:ascii="Calibri" w:hAnsi="Calibri"/>
                <w:b/>
                <w:i w:val="0"/>
                <w:color w:val="0B3D91"/>
                <w:sz w:val="18"/>
              </w:rPr>
              <w:t>15</w:t>
            </w:r>
          </w:p>
        </w:tc>
      </w:tr>
      <w:tr>
        <w:tc>
          <w:tcPr>
            <w:tcW w:type="dxa" w:w="4680"/>
            <w:shd w:val="clear" w:color="auto" w:fill="EFF9FC"/>
          </w:tcPr>
          <w:p>
            <w:pPr>
              <w:jc w:val="left"/>
            </w:pPr>
            <w:r>
              <w:rPr>
                <w:rFonts w:ascii="Calibri" w:hAnsi="Calibri"/>
                <w:b w:val="0"/>
                <w:i w:val="0"/>
                <w:sz w:val="18"/>
              </w:rPr>
              <w:t>Balance %</w:t>
            </w:r>
          </w:p>
        </w:tc>
        <w:tc>
          <w:tcPr>
            <w:tcW w:type="dxa" w:w="4680"/>
            <w:shd w:val="clear" w:color="auto" w:fill="EFF9FC"/>
          </w:tcPr>
          <w:p>
            <w:pPr>
              <w:jc w:val="left"/>
            </w:pPr>
            <w:r>
              <w:rPr>
                <w:rFonts w:ascii="Calibri" w:hAnsi="Calibri"/>
                <w:b/>
                <w:i w:val="0"/>
                <w:color w:val="0B3D91"/>
                <w:sz w:val="18"/>
              </w:rPr>
              <w:t>10%</w:t>
            </w:r>
          </w:p>
        </w:tc>
      </w:tr>
      <w:tr>
        <w:tc>
          <w:tcPr>
            <w:tcW w:type="dxa" w:w="4680"/>
            <w:shd w:val="clear" w:color="auto" w:fill="FFFFFF"/>
          </w:tcPr>
          <w:p>
            <w:pPr>
              <w:jc w:val="left"/>
            </w:pPr>
            <w:r>
              <w:rPr>
                <w:rFonts w:ascii="Calibri" w:hAnsi="Calibri"/>
                <w:b w:val="0"/>
                <w:i w:val="0"/>
                <w:sz w:val="18"/>
              </w:rPr>
              <w:t>Uplift over Vbz</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Fresh Air</w:t>
            </w:r>
          </w:p>
        </w:tc>
        <w:tc>
          <w:tcPr>
            <w:tcW w:type="dxa" w:w="4680"/>
            <w:shd w:val="clear" w:color="auto" w:fill="EFF9FC"/>
          </w:tcPr>
          <w:p>
            <w:pPr>
              <w:jc w:val="left"/>
            </w:pPr>
            <w:r>
              <w:rPr>
                <w:rFonts w:ascii="Calibri" w:hAnsi="Calibri"/>
                <w:b/>
                <w:i w:val="0"/>
                <w:color w:val="0B3D91"/>
                <w:sz w:val="18"/>
              </w:rPr>
              <w:t>56 L/s</w:t>
            </w:r>
          </w:p>
        </w:tc>
      </w:tr>
      <w:tr>
        <w:tc>
          <w:tcPr>
            <w:tcW w:type="dxa" w:w="4680"/>
            <w:shd w:val="clear" w:color="auto" w:fill="FFFFFF"/>
          </w:tcPr>
          <w:p>
            <w:pPr>
              <w:jc w:val="left"/>
            </w:pPr>
            <w:r>
              <w:rPr>
                <w:rFonts w:ascii="Calibri" w:hAnsi="Calibri"/>
                <w:b w:val="0"/>
                <w:i w:val="0"/>
                <w:sz w:val="18"/>
              </w:rPr>
              <w:t>Extract</w:t>
            </w:r>
          </w:p>
        </w:tc>
        <w:tc>
          <w:tcPr>
            <w:tcW w:type="dxa" w:w="4680"/>
            <w:shd w:val="clear" w:color="auto" w:fill="FFFFFF"/>
          </w:tcPr>
          <w:p>
            <w:pPr>
              <w:jc w:val="left"/>
            </w:pPr>
            <w:r>
              <w:rPr>
                <w:rFonts w:ascii="Calibri" w:hAnsi="Calibri"/>
                <w:b/>
                <w:i w:val="0"/>
                <w:color w:val="0B3D91"/>
                <w:sz w:val="18"/>
              </w:rPr>
              <w:t>51 L/s  (45 in attached spaces + 6 local)</w:t>
            </w:r>
          </w:p>
        </w:tc>
      </w:tr>
    </w:tbl>
    <w:p/>
    <w:p>
      <w:r>
        <w:rPr>
          <w:rFonts w:ascii="Calibri" w:hAnsi="Calibri"/>
          <w:b/>
          <w:color w:val="0A2540"/>
          <w:sz w:val="22"/>
        </w:rPr>
        <w:t>Attached extract spaces — served by transfer air from Pantry / Break Room</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shd w:val="clear" w:color="auto" w:fill="0A2540"/>
          </w:tcPr>
          <w:p>
            <w:pPr>
              <w:jc w:val="center"/>
            </w:pPr>
            <w:r>
              <w:rPr>
                <w:rFonts w:ascii="Calibri" w:hAnsi="Calibri"/>
                <w:b/>
                <w:i w:val="0"/>
                <w:color w:val="FFFFFF"/>
                <w:sz w:val="18"/>
              </w:rPr>
              <w:t>Attached Space</w:t>
            </w:r>
          </w:p>
        </w:tc>
        <w:tc>
          <w:tcPr>
            <w:tcW w:type="dxa" w:w="1560"/>
            <w:shd w:val="clear" w:color="auto" w:fill="0A2540"/>
          </w:tcPr>
          <w:p>
            <w:pPr>
              <w:jc w:val="center"/>
            </w:pPr>
            <w:r>
              <w:rPr>
                <w:rFonts w:ascii="Calibri" w:hAnsi="Calibri"/>
                <w:b/>
                <w:i w:val="0"/>
                <w:color w:val="FFFFFF"/>
                <w:sz w:val="18"/>
              </w:rPr>
              <w:t>Qty</w:t>
            </w:r>
          </w:p>
        </w:tc>
        <w:tc>
          <w:tcPr>
            <w:tcW w:type="dxa" w:w="1560"/>
            <w:shd w:val="clear" w:color="auto" w:fill="0A2540"/>
          </w:tcPr>
          <w:p>
            <w:pPr>
              <w:jc w:val="center"/>
            </w:pPr>
            <w:r>
              <w:rPr>
                <w:rFonts w:ascii="Calibri" w:hAnsi="Calibri"/>
                <w:b/>
                <w:i w:val="0"/>
                <w:color w:val="FFFFFF"/>
                <w:sz w:val="18"/>
              </w:rPr>
              <w:t>Extract (L/s)</w:t>
            </w:r>
          </w:p>
        </w:tc>
        <w:tc>
          <w:tcPr>
            <w:tcW w:type="dxa" w:w="1560"/>
            <w:shd w:val="clear" w:color="auto" w:fill="0A2540"/>
          </w:tcPr>
          <w:p>
            <w:pPr>
              <w:jc w:val="center"/>
            </w:pPr>
            <w:r>
              <w:rPr>
                <w:rFonts w:ascii="Calibri" w:hAnsi="Calibri"/>
                <w:b/>
                <w:i w:val="0"/>
                <w:color w:val="FFFFFF"/>
                <w:sz w:val="18"/>
              </w:rPr>
              <w:t>How calculated</w:t>
            </w:r>
          </w:p>
        </w:tc>
        <w:tc>
          <w:tcPr>
            <w:tcW w:type="dxa" w:w="1560"/>
            <w:shd w:val="clear" w:color="auto" w:fill="0A2540"/>
          </w:tcPr>
          <w:p>
            <w:pPr>
              <w:jc w:val="center"/>
            </w:pPr>
            <w:r>
              <w:rPr>
                <w:rFonts w:ascii="Calibri" w:hAnsi="Calibri"/>
                <w:b/>
                <w:i w:val="0"/>
                <w:color w:val="FFFFFF"/>
                <w:sz w:val="18"/>
              </w:rPr>
              <w:t>Air Source</w:t>
            </w:r>
          </w:p>
        </w:tc>
        <w:tc>
          <w:tcPr>
            <w:tcW w:type="dxa" w:w="1560"/>
            <w:shd w:val="clear" w:color="auto" w:fill="0A2540"/>
          </w:tcPr>
          <w:p>
            <w:pPr>
              <w:jc w:val="center"/>
            </w:pPr>
            <w:r>
              <w:rPr>
                <w:rFonts w:ascii="Calibri" w:hAnsi="Calibri"/>
                <w:b/>
                <w:i w:val="0"/>
                <w:color w:val="FFFFFF"/>
                <w:sz w:val="18"/>
              </w:rPr>
              <w:t>Extract Via</w:t>
            </w:r>
          </w:p>
        </w:tc>
      </w:tr>
      <w:tr>
        <w:tc>
          <w:tcPr>
            <w:tcW w:type="dxa" w:w="1560"/>
            <w:shd w:val="clear" w:color="auto" w:fill="EFF9FC"/>
          </w:tcPr>
          <w:p>
            <w:pPr>
              <w:jc w:val="left"/>
            </w:pPr>
            <w:r>
              <w:rPr>
                <w:rFonts w:ascii="Calibri" w:hAnsi="Calibri"/>
                <w:b/>
                <w:i w:val="0"/>
                <w:sz w:val="18"/>
              </w:rPr>
              <w:t>Pantry Extract</w:t>
            </w:r>
          </w:p>
        </w:tc>
        <w:tc>
          <w:tcPr>
            <w:tcW w:type="dxa" w:w="1560"/>
            <w:shd w:val="clear" w:color="auto" w:fill="EFF9FC"/>
          </w:tcPr>
          <w:p>
            <w:pPr>
              <w:jc w:val="left"/>
            </w:pPr>
            <w:r>
              <w:rPr>
                <w:rFonts w:ascii="Calibri" w:hAnsi="Calibri"/>
                <w:b w:val="0"/>
                <w:i w:val="0"/>
                <w:sz w:val="18"/>
              </w:rPr>
              <w:t>1</w:t>
            </w:r>
          </w:p>
        </w:tc>
        <w:tc>
          <w:tcPr>
            <w:tcW w:type="dxa" w:w="1560"/>
            <w:shd w:val="clear" w:color="auto" w:fill="EFF9FC"/>
          </w:tcPr>
          <w:p>
            <w:pPr>
              <w:jc w:val="left"/>
            </w:pPr>
            <w:r>
              <w:rPr>
                <w:rFonts w:ascii="Calibri" w:hAnsi="Calibri"/>
                <w:b w:val="0"/>
                <w:i w:val="0"/>
                <w:sz w:val="18"/>
              </w:rPr>
              <w:t>45.0</w:t>
            </w:r>
          </w:p>
        </w:tc>
        <w:tc>
          <w:tcPr>
            <w:tcW w:type="dxa" w:w="1560"/>
            <w:shd w:val="clear" w:color="auto" w:fill="EFF9FC"/>
          </w:tcPr>
          <w:p>
            <w:pPr>
              <w:jc w:val="left"/>
            </w:pPr>
            <w:r>
              <w:rPr>
                <w:rFonts w:ascii="Calibri" w:hAnsi="Calibri"/>
                <w:b w:val="0"/>
                <w:i w:val="0"/>
                <w:sz w:val="18"/>
              </w:rPr>
              <w:t>Area-based (Table 6-2): 30 m² × 1.5 L/s/m² = 45.0 L/s</w:t>
            </w:r>
          </w:p>
        </w:tc>
        <w:tc>
          <w:tcPr>
            <w:tcW w:type="dxa" w:w="1560"/>
            <w:shd w:val="clear" w:color="auto" w:fill="EFF9FC"/>
          </w:tcPr>
          <w:p>
            <w:pPr>
              <w:jc w:val="left"/>
            </w:pPr>
            <w:r>
              <w:rPr>
                <w:rFonts w:ascii="Calibri" w:hAnsi="Calibri"/>
                <w:b w:val="0"/>
                <w:i w:val="0"/>
                <w:sz w:val="18"/>
              </w:rPr>
              <w:t>Transfer from Pantry / Break Room</w:t>
            </w:r>
          </w:p>
        </w:tc>
        <w:tc>
          <w:tcPr>
            <w:tcW w:type="dxa" w:w="1560"/>
            <w:shd w:val="clear" w:color="auto" w:fill="EFF9FC"/>
          </w:tcPr>
          <w:p>
            <w:pPr>
              <w:jc w:val="left"/>
            </w:pPr>
            <w:r>
              <w:rPr>
                <w:rFonts w:ascii="Calibri" w:hAnsi="Calibri"/>
                <w:b w:val="0"/>
                <w:i w:val="0"/>
                <w:color w:val="0B3D91"/>
                <w:sz w:val="18"/>
              </w:rPr>
              <w:t>FAHU</w:t>
            </w:r>
          </w:p>
        </w:tc>
      </w:tr>
      <w:tr>
        <w:tc>
          <w:tcPr>
            <w:tcW w:type="dxa" w:w="1560"/>
            <w:shd w:val="clear" w:color="auto" w:fill="FFFFFF"/>
          </w:tcPr>
          <w:p>
            <w:pPr>
              <w:jc w:val="left"/>
            </w:pPr>
            <w:r>
              <w:rPr>
                <w:rFonts w:ascii="Calibri" w:hAnsi="Calibri"/>
                <w:b/>
                <w:i w:val="0"/>
                <w:sz w:val="18"/>
              </w:rPr>
              <w:t>Pantry / Break Room (local extract)</w:t>
            </w:r>
          </w:p>
        </w:tc>
        <w:tc>
          <w:tcPr>
            <w:tcW w:type="dxa" w:w="1560"/>
            <w:shd w:val="clear" w:color="auto" w:fill="FFFFFF"/>
          </w:tcPr>
          <w:p>
            <w:pPr>
              <w:jc w:val="left"/>
            </w:pPr>
            <w:r>
              <w:rPr>
                <w:rFonts w:ascii="Calibri" w:hAnsi="Calibri"/>
                <w:b w:val="0"/>
                <w:i w:val="0"/>
                <w:sz w:val="18"/>
              </w:rPr>
            </w:r>
          </w:p>
        </w:tc>
        <w:tc>
          <w:tcPr>
            <w:tcW w:type="dxa" w:w="1560"/>
            <w:shd w:val="clear" w:color="auto" w:fill="FFFFFF"/>
          </w:tcPr>
          <w:p>
            <w:pPr>
              <w:jc w:val="left"/>
            </w:pPr>
            <w:r>
              <w:rPr>
                <w:rFonts w:ascii="Calibri" w:hAnsi="Calibri"/>
                <w:b w:val="0"/>
                <w:i w:val="0"/>
                <w:sz w:val="18"/>
              </w:rPr>
              <w:t>6</w:t>
            </w:r>
          </w:p>
        </w:tc>
        <w:tc>
          <w:tcPr>
            <w:tcW w:type="dxa" w:w="1560"/>
            <w:shd w:val="clear" w:color="auto" w:fill="FFFFFF"/>
          </w:tcPr>
          <w:p>
            <w:pPr>
              <w:jc w:val="left"/>
            </w:pPr>
            <w:r>
              <w:rPr>
                <w:rFonts w:ascii="Calibri" w:hAnsi="Calibri"/>
                <w:b w:val="0"/>
                <w:i w:val="0"/>
                <w:sz w:val="18"/>
              </w:rPr>
              <w:t>Pressure-balance remainder (fresh × (1 − bal%))</w:t>
            </w:r>
          </w:p>
        </w:tc>
        <w:tc>
          <w:tcPr>
            <w:tcW w:type="dxa" w:w="1560"/>
            <w:shd w:val="clear" w:color="auto" w:fill="FFFFFF"/>
          </w:tcPr>
          <w:p>
            <w:pPr>
              <w:jc w:val="left"/>
            </w:pPr>
            <w:r>
              <w:rPr>
                <w:rFonts w:ascii="Calibri" w:hAnsi="Calibri"/>
                <w:b w:val="0"/>
                <w:i w:val="0"/>
                <w:sz w:val="18"/>
              </w:rPr>
              <w:t>Exhausted in main space</w:t>
            </w:r>
          </w:p>
        </w:tc>
        <w:tc>
          <w:tcPr>
            <w:tcW w:type="dxa" w:w="1560"/>
            <w:shd w:val="clear" w:color="auto" w:fill="FFFFFF"/>
          </w:tcPr>
          <w:p>
            <w:pPr>
              <w:jc w:val="left"/>
            </w:pPr>
            <w:r>
              <w:rPr>
                <w:rFonts w:ascii="Calibri" w:hAnsi="Calibri"/>
                <w:b w:val="0"/>
                <w:i w:val="0"/>
                <w:color w:val="0B3D91"/>
                <w:sz w:val="18"/>
              </w:rPr>
              <w:t>FAHU</w:t>
            </w:r>
          </w:p>
        </w:tc>
      </w:tr>
      <w:tr>
        <w:tc>
          <w:tcPr>
            <w:tcW w:type="dxa" w:w="1560"/>
            <w:shd w:val="clear" w:color="auto" w:fill="EFF9FC"/>
          </w:tcPr>
          <w:p>
            <w:pPr>
              <w:jc w:val="left"/>
            </w:pPr>
            <w:r>
              <w:rPr>
                <w:rFonts w:ascii="Calibri" w:hAnsi="Calibri"/>
                <w:b/>
                <w:i w:val="0"/>
                <w:sz w:val="18"/>
              </w:rPr>
              <w:t>TOTAL</w:t>
            </w:r>
          </w:p>
        </w:tc>
        <w:tc>
          <w:tcPr>
            <w:tcW w:type="dxa" w:w="1560"/>
            <w:shd w:val="clear" w:color="auto" w:fill="EFF9FC"/>
          </w:tcPr>
          <w:p>
            <w:pPr>
              <w:jc w:val="left"/>
            </w:pPr>
            <w:r>
              <w:rPr>
                <w:rFonts w:ascii="Calibri" w:hAnsi="Calibri"/>
                <w:b w:val="0"/>
                <w:i w:val="0"/>
                <w:sz w:val="18"/>
              </w:rPr>
            </w:r>
          </w:p>
        </w:tc>
        <w:tc>
          <w:tcPr>
            <w:tcW w:type="dxa" w:w="1560"/>
            <w:shd w:val="clear" w:color="auto" w:fill="EFF9FC"/>
          </w:tcPr>
          <w:p>
            <w:pPr>
              <w:jc w:val="left"/>
            </w:pPr>
            <w:r>
              <w:rPr>
                <w:rFonts w:ascii="Calibri" w:hAnsi="Calibri"/>
                <w:b w:val="0"/>
                <w:i w:val="0"/>
                <w:sz w:val="18"/>
              </w:rPr>
              <w:t>51</w:t>
            </w:r>
          </w:p>
        </w:tc>
        <w:tc>
          <w:tcPr>
            <w:tcW w:type="dxa" w:w="1560"/>
            <w:shd w:val="clear" w:color="auto" w:fill="EFF9FC"/>
          </w:tcPr>
          <w:p>
            <w:pPr>
              <w:jc w:val="left"/>
            </w:pPr>
            <w:r>
              <w:rPr>
                <w:rFonts w:ascii="Calibri" w:hAnsi="Calibri"/>
                <w:b w:val="0"/>
                <w:i w:val="0"/>
                <w:sz w:val="18"/>
              </w:rPr>
            </w:r>
          </w:p>
        </w:tc>
        <w:tc>
          <w:tcPr>
            <w:tcW w:type="dxa" w:w="1560"/>
            <w:shd w:val="clear" w:color="auto" w:fill="EFF9FC"/>
          </w:tcPr>
          <w:p>
            <w:pPr>
              <w:jc w:val="left"/>
            </w:pPr>
            <w:r>
              <w:rPr>
                <w:rFonts w:ascii="Calibri" w:hAnsi="Calibri"/>
                <w:b w:val="0"/>
                <w:i w:val="0"/>
                <w:sz w:val="18"/>
              </w:rPr>
            </w:r>
          </w:p>
        </w:tc>
        <w:tc>
          <w:tcPr>
            <w:tcW w:type="dxa" w:w="1560"/>
            <w:shd w:val="clear" w:color="auto" w:fill="EFF9FC"/>
          </w:tcPr>
          <w:p>
            <w:pPr>
              <w:jc w:val="left"/>
            </w:pPr>
            <w:r>
              <w:rPr>
                <w:rFonts w:ascii="Calibri" w:hAnsi="Calibri"/>
                <w:b w:val="0"/>
                <w:i w:val="0"/>
                <w:color w:val="0B3D91"/>
                <w:sz w:val="18"/>
              </w:rPr>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  Pantry / Break Room — transfer-air supply</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Vf = max(Vbz, ΣVe,att × (1 + bal%));  Ve = max(ΣVe,att, Vf × (1 − bal%))</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ΣVe,att = 45 L/s; 45 × (1 + 0.10) = 49.5; Vbz = 56 L/s (Table 6-1, Break Rooms); Ve = max(45, 56 × 0.90) = 51</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Fresh 56 L/s, Extract 51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All supply enters the main space; the attached rooms draw their extract via transfer air (door undercut / grille). The balance% surplus keeps the main space positively pressurised. The pressure balance requires more extract than the attached rooms take, so 6 L/s is exhausted from the main space itself.</w:t>
            </w:r>
          </w:p>
        </w:tc>
      </w:tr>
    </w:tbl>
    <w:p/>
    <w:p>
      <w:r>
        <w:rPr>
          <w:rFonts w:ascii="Calibri" w:hAnsi="Calibri"/>
          <w:b/>
          <w:color w:val="0A2540"/>
          <w:sz w:val="22"/>
        </w:rPr>
        <w:t>Lift Lobby / Corridor</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Mode</w:t>
            </w:r>
          </w:p>
        </w:tc>
        <w:tc>
          <w:tcPr>
            <w:tcW w:type="dxa" w:w="4680"/>
            <w:shd w:val="clear" w:color="auto" w:fill="EFF9FC"/>
          </w:tcPr>
          <w:p>
            <w:pPr>
              <w:jc w:val="left"/>
            </w:pPr>
            <w:r>
              <w:rPr>
                <w:rFonts w:ascii="Calibri" w:hAnsi="Calibri"/>
                <w:b/>
                <w:i w:val="0"/>
                <w:color w:val="0B3D91"/>
                <w:sz w:val="18"/>
              </w:rPr>
              <w:t>Standard</w:t>
            </w:r>
          </w:p>
        </w:tc>
      </w:tr>
      <w:tr>
        <w:tc>
          <w:tcPr>
            <w:tcW w:type="dxa" w:w="4680"/>
            <w:shd w:val="clear" w:color="auto" w:fill="FFFFFF"/>
          </w:tcPr>
          <w:p>
            <w:pPr>
              <w:jc w:val="left"/>
            </w:pPr>
            <w:r>
              <w:rPr>
                <w:rFonts w:ascii="Calibri" w:hAnsi="Calibri"/>
                <w:b w:val="0"/>
                <w:i w:val="0"/>
                <w:sz w:val="18"/>
              </w:rPr>
              <w:t>Type</w:t>
            </w:r>
          </w:p>
        </w:tc>
        <w:tc>
          <w:tcPr>
            <w:tcW w:type="dxa" w:w="4680"/>
            <w:shd w:val="clear" w:color="auto" w:fill="FFFFFF"/>
          </w:tcPr>
          <w:p>
            <w:pPr>
              <w:jc w:val="left"/>
            </w:pPr>
            <w:r>
              <w:rPr>
                <w:rFonts w:ascii="Calibri" w:hAnsi="Calibri"/>
                <w:b/>
                <w:i w:val="0"/>
                <w:color w:val="0B3D91"/>
                <w:sz w:val="18"/>
              </w:rPr>
              <w:t>Corridors (Office)</w:t>
            </w:r>
          </w:p>
        </w:tc>
      </w:tr>
      <w:tr>
        <w:tc>
          <w:tcPr>
            <w:tcW w:type="dxa" w:w="4680"/>
            <w:shd w:val="clear" w:color="auto" w:fill="EFF9FC"/>
          </w:tcPr>
          <w:p>
            <w:pPr>
              <w:jc w:val="left"/>
            </w:pPr>
            <w:r>
              <w:rPr>
                <w:rFonts w:ascii="Calibri" w:hAnsi="Calibri"/>
                <w:b w:val="0"/>
                <w:i w:val="0"/>
                <w:sz w:val="18"/>
              </w:rPr>
              <w:t>Area</w:t>
            </w:r>
          </w:p>
        </w:tc>
        <w:tc>
          <w:tcPr>
            <w:tcW w:type="dxa" w:w="4680"/>
            <w:shd w:val="clear" w:color="auto" w:fill="EFF9FC"/>
          </w:tcPr>
          <w:p>
            <w:pPr>
              <w:jc w:val="left"/>
            </w:pPr>
            <w:r>
              <w:rPr>
                <w:rFonts w:ascii="Calibri" w:hAnsi="Calibri"/>
                <w:b/>
                <w:i w:val="0"/>
                <w:color w:val="0B3D91"/>
                <w:sz w:val="18"/>
              </w:rPr>
              <w:t>110 m²</w:t>
            </w:r>
          </w:p>
        </w:tc>
      </w:tr>
      <w:tr>
        <w:tc>
          <w:tcPr>
            <w:tcW w:type="dxa" w:w="4680"/>
            <w:shd w:val="clear" w:color="auto" w:fill="FFFFFF"/>
          </w:tcPr>
          <w:p>
            <w:pPr>
              <w:jc w:val="left"/>
            </w:pPr>
            <w:r>
              <w:rPr>
                <w:rFonts w:ascii="Calibri" w:hAnsi="Calibri"/>
                <w:b w:val="0"/>
                <w:i w:val="0"/>
                <w:sz w:val="18"/>
              </w:rPr>
              <w:t>People</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Balance %</w:t>
            </w:r>
          </w:p>
        </w:tc>
        <w:tc>
          <w:tcPr>
            <w:tcW w:type="dxa" w:w="4680"/>
            <w:shd w:val="clear" w:color="auto" w:fill="EFF9FC"/>
          </w:tcPr>
          <w:p>
            <w:pPr>
              <w:jc w:val="left"/>
            </w:pPr>
            <w:r>
              <w:rPr>
                <w:rFonts w:ascii="Calibri" w:hAnsi="Calibri"/>
                <w:b/>
                <w:i w:val="0"/>
                <w:color w:val="0B3D91"/>
                <w:sz w:val="18"/>
              </w:rPr>
              <w:t>10%</w:t>
            </w:r>
          </w:p>
        </w:tc>
      </w:tr>
      <w:tr>
        <w:tc>
          <w:tcPr>
            <w:tcW w:type="dxa" w:w="4680"/>
            <w:shd w:val="clear" w:color="auto" w:fill="FFFFFF"/>
          </w:tcPr>
          <w:p>
            <w:pPr>
              <w:jc w:val="left"/>
            </w:pPr>
            <w:r>
              <w:rPr>
                <w:rFonts w:ascii="Calibri" w:hAnsi="Calibri"/>
                <w:b w:val="0"/>
                <w:i w:val="0"/>
                <w:sz w:val="18"/>
              </w:rPr>
              <w:t>Uplift over Vbz</w:t>
            </w:r>
          </w:p>
        </w:tc>
        <w:tc>
          <w:tcPr>
            <w:tcW w:type="dxa" w:w="4680"/>
            <w:shd w:val="clear" w:color="auto" w:fill="FFFFFF"/>
          </w:tcPr>
          <w:p>
            <w:pPr>
              <w:jc w:val="left"/>
            </w:pPr>
            <w:r>
              <w:rPr>
                <w:rFonts w:ascii="Calibri" w:hAnsi="Calibri"/>
                <w:b/>
                <w:i w:val="0"/>
                <w:color w:val="0B3D91"/>
                <w:sz w:val="18"/>
              </w:rPr>
              <w:t>0%</w:t>
            </w:r>
          </w:p>
        </w:tc>
      </w:tr>
      <w:tr>
        <w:tc>
          <w:tcPr>
            <w:tcW w:type="dxa" w:w="4680"/>
            <w:shd w:val="clear" w:color="auto" w:fill="EFF9FC"/>
          </w:tcPr>
          <w:p>
            <w:pPr>
              <w:jc w:val="left"/>
            </w:pPr>
            <w:r>
              <w:rPr>
                <w:rFonts w:ascii="Calibri" w:hAnsi="Calibri"/>
                <w:b w:val="0"/>
                <w:i w:val="0"/>
                <w:sz w:val="18"/>
              </w:rPr>
              <w:t>Fresh Air</w:t>
            </w:r>
          </w:p>
        </w:tc>
        <w:tc>
          <w:tcPr>
            <w:tcW w:type="dxa" w:w="4680"/>
            <w:shd w:val="clear" w:color="auto" w:fill="EFF9FC"/>
          </w:tcPr>
          <w:p>
            <w:pPr>
              <w:jc w:val="left"/>
            </w:pPr>
            <w:r>
              <w:rPr>
                <w:rFonts w:ascii="Calibri" w:hAnsi="Calibri"/>
                <w:b/>
                <w:i w:val="0"/>
                <w:color w:val="0B3D91"/>
                <w:sz w:val="18"/>
              </w:rPr>
              <w:t>33 L/s</w:t>
            </w:r>
          </w:p>
        </w:tc>
      </w:tr>
      <w:tr>
        <w:tc>
          <w:tcPr>
            <w:tcW w:type="dxa" w:w="4680"/>
            <w:shd w:val="clear" w:color="auto" w:fill="FFFFFF"/>
          </w:tcPr>
          <w:p>
            <w:pPr>
              <w:jc w:val="left"/>
            </w:pPr>
            <w:r>
              <w:rPr>
                <w:rFonts w:ascii="Calibri" w:hAnsi="Calibri"/>
                <w:b w:val="0"/>
                <w:i w:val="0"/>
                <w:sz w:val="18"/>
              </w:rPr>
              <w:t>Extract</w:t>
            </w:r>
          </w:p>
        </w:tc>
        <w:tc>
          <w:tcPr>
            <w:tcW w:type="dxa" w:w="4680"/>
            <w:shd w:val="clear" w:color="auto" w:fill="FFFFFF"/>
          </w:tcPr>
          <w:p>
            <w:pPr>
              <w:jc w:val="left"/>
            </w:pPr>
            <w:r>
              <w:rPr>
                <w:rFonts w:ascii="Calibri" w:hAnsi="Calibri"/>
                <w:b/>
                <w:i w:val="0"/>
                <w:color w:val="0B3D91"/>
                <w:sz w:val="18"/>
              </w:rPr>
              <w:t>30 L/s</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5:  Lift Lobby / Corridor — breathing-zone outdoor air</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Vbz = Rp*Pz + Ra*Az   (ASHRAE 62.1 Table 6-1)</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People Pz = 0, Area Az = 110 m²; Rp/Ra per Table 6-1; Vbz = 33 L/s (Table 6-1, Corridors (Office))</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Fresh 33 L/s, Extract 30 L/s</w:t>
            </w:r>
          </w:p>
        </w:tc>
      </w:tr>
      <w:tr>
        <w:tc>
          <w:tcPr>
            <w:tcW w:type="dxa" w:w="9360"/>
            <w:shd w:val="clear" w:color="auto" w:fill="FFF8E7"/>
            <w:tcMar>
              <w:top w:w="80" w:type="dxa"/>
              <w:bottom w:w="80" w:type="dxa"/>
              <w:left w:w="80" w:type="dxa"/>
              <w:right w:w="80" w:type="dxa"/>
            </w:tcMar>
          </w:tcPr>
          <w:p>
            <w:r>
              <w:rPr>
                <w:rFonts w:ascii="Calibri" w:hAnsi="Calibri"/>
                <w:b w:val="0"/>
                <w:i/>
                <w:color w:val="6B7280"/>
                <w:sz w:val="16"/>
              </w:rPr>
              <w:t xml:space="preserve">  Note: The issued fresh air is Vbz (Eq 6-1); Ez = 1.0 is assumed for Table 6-4 'ceiling supply of cool air'. For another Table 6-4 configuration Voz = Vbz / Ez (Eq 6-2), and Addendum j multiplies by Eρ (Table 6-5) - neither is applied here.</w:t>
            </w:r>
          </w:p>
        </w:tc>
      </w:tr>
    </w:tbl>
    <w:p/>
    <w:p>
      <w:pPr>
        <w:pStyle w:val="Heading1"/>
        <w:pBdr>
          <w:bottom w:val="single" w:sz="6" w:space="4" w:color="0A2540"/>
        </w:pBdr>
      </w:pPr>
      <w:r>
        <w:rPr>
          <w:rFonts w:ascii="Calibri" w:hAnsi="Calibri"/>
          <w:b/>
          <w:color w:val="0A2540"/>
          <w:sz w:val="26"/>
        </w:rPr>
        <w:t>4.  Floors</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shd w:val="clear" w:color="auto" w:fill="0A2540"/>
          </w:tcPr>
          <w:p>
            <w:pPr>
              <w:jc w:val="center"/>
            </w:pPr>
            <w:r>
              <w:rPr>
                <w:rFonts w:ascii="Calibri" w:hAnsi="Calibri"/>
                <w:b/>
                <w:i w:val="0"/>
                <w:color w:val="FFFFFF"/>
                <w:sz w:val="18"/>
              </w:rPr>
              <w:t>Floor</w:t>
            </w:r>
          </w:p>
        </w:tc>
        <w:tc>
          <w:tcPr>
            <w:tcW w:type="dxa" w:w="1560"/>
            <w:shd w:val="clear" w:color="auto" w:fill="0A2540"/>
          </w:tcPr>
          <w:p>
            <w:pPr>
              <w:jc w:val="center"/>
            </w:pPr>
            <w:r>
              <w:rPr>
                <w:rFonts w:ascii="Calibri" w:hAnsi="Calibri"/>
                <w:b/>
                <w:i w:val="0"/>
                <w:color w:val="FFFFFF"/>
                <w:sz w:val="18"/>
              </w:rPr>
              <w:t>Fresh (L/s)</w:t>
            </w:r>
          </w:p>
        </w:tc>
        <w:tc>
          <w:tcPr>
            <w:tcW w:type="dxa" w:w="1560"/>
            <w:shd w:val="clear" w:color="auto" w:fill="0A2540"/>
          </w:tcPr>
          <w:p>
            <w:pPr>
              <w:jc w:val="center"/>
            </w:pPr>
            <w:r>
              <w:rPr>
                <w:rFonts w:ascii="Calibri" w:hAnsi="Calibri"/>
                <w:b/>
                <w:i w:val="0"/>
                <w:color w:val="FFFFFF"/>
                <w:sz w:val="18"/>
              </w:rPr>
              <w:t>Extract (L/s)</w:t>
            </w:r>
          </w:p>
        </w:tc>
        <w:tc>
          <w:tcPr>
            <w:tcW w:type="dxa" w:w="1560"/>
            <w:shd w:val="clear" w:color="auto" w:fill="0A2540"/>
          </w:tcPr>
          <w:p>
            <w:pPr>
              <w:jc w:val="center"/>
            </w:pPr>
            <w:r>
              <w:rPr>
                <w:rFonts w:ascii="Calibri" w:hAnsi="Calibri"/>
                <w:b/>
                <w:i w:val="0"/>
                <w:color w:val="FFFFFF"/>
                <w:sz w:val="18"/>
              </w:rPr>
              <w:t>To Fans (L/s)</w:t>
            </w:r>
          </w:p>
        </w:tc>
        <w:tc>
          <w:tcPr>
            <w:tcW w:type="dxa" w:w="1560"/>
            <w:shd w:val="clear" w:color="auto" w:fill="0A2540"/>
          </w:tcPr>
          <w:p>
            <w:pPr>
              <w:jc w:val="center"/>
            </w:pPr>
            <w:r>
              <w:rPr>
                <w:rFonts w:ascii="Calibri" w:hAnsi="Calibri"/>
                <w:b/>
                <w:i w:val="0"/>
                <w:color w:val="FFFFFF"/>
                <w:sz w:val="18"/>
              </w:rPr>
              <w:t>Intermittent — excl. (L/s)</w:t>
            </w:r>
          </w:p>
        </w:tc>
        <w:tc>
          <w:tcPr>
            <w:tcW w:type="dxa" w:w="1560"/>
            <w:shd w:val="clear" w:color="auto" w:fill="0A2540"/>
          </w:tcPr>
          <w:p>
            <w:pPr>
              <w:jc w:val="center"/>
            </w:pPr>
            <w:r>
              <w:rPr>
                <w:rFonts w:ascii="Calibri" w:hAnsi="Calibri"/>
                <w:b/>
                <w:i w:val="0"/>
                <w:color w:val="FFFFFF"/>
                <w:sz w:val="18"/>
              </w:rPr>
              <w:t>Net (L/s)</w:t>
            </w:r>
          </w:p>
        </w:tc>
      </w:tr>
      <w:tr>
        <w:tc>
          <w:tcPr>
            <w:tcW w:type="dxa" w:w="1560"/>
            <w:shd w:val="clear" w:color="auto" w:fill="EFF9FC"/>
          </w:tcPr>
          <w:p>
            <w:pPr>
              <w:jc w:val="left"/>
            </w:pPr>
            <w:r>
              <w:rPr>
                <w:rFonts w:ascii="Calibri" w:hAnsi="Calibri"/>
                <w:b/>
                <w:i w:val="0"/>
                <w:sz w:val="18"/>
              </w:rPr>
              <w:t>Typical Office Floor</w:t>
            </w:r>
          </w:p>
        </w:tc>
        <w:tc>
          <w:tcPr>
            <w:tcW w:type="dxa" w:w="1560"/>
            <w:shd w:val="clear" w:color="auto" w:fill="EFF9FC"/>
          </w:tcPr>
          <w:p>
            <w:pPr>
              <w:jc w:val="left"/>
            </w:pPr>
            <w:r>
              <w:rPr>
                <w:rFonts w:ascii="Calibri" w:hAnsi="Calibri"/>
                <w:b w:val="0"/>
                <w:i w:val="0"/>
                <w:sz w:val="18"/>
              </w:rPr>
              <w:t>622</w:t>
            </w:r>
          </w:p>
        </w:tc>
        <w:tc>
          <w:tcPr>
            <w:tcW w:type="dxa" w:w="1560"/>
            <w:shd w:val="clear" w:color="auto" w:fill="EFF9FC"/>
          </w:tcPr>
          <w:p>
            <w:pPr>
              <w:jc w:val="left"/>
            </w:pPr>
            <w:r>
              <w:rPr>
                <w:rFonts w:ascii="Calibri" w:hAnsi="Calibri"/>
                <w:b w:val="0"/>
                <w:i w:val="0"/>
                <w:sz w:val="18"/>
              </w:rPr>
              <w:t>562</w:t>
            </w:r>
          </w:p>
        </w:tc>
        <w:tc>
          <w:tcPr>
            <w:tcW w:type="dxa" w:w="1560"/>
            <w:shd w:val="clear" w:color="auto" w:fill="EFF9FC"/>
          </w:tcPr>
          <w:p>
            <w:pPr>
              <w:jc w:val="left"/>
            </w:pPr>
            <w:r>
              <w:rPr>
                <w:rFonts w:ascii="Calibri" w:hAnsi="Calibri"/>
                <w:b w:val="0"/>
                <w:i w:val="0"/>
                <w:sz w:val="18"/>
              </w:rPr>
              <w:t>—</w:t>
            </w:r>
          </w:p>
        </w:tc>
        <w:tc>
          <w:tcPr>
            <w:tcW w:type="dxa" w:w="1560"/>
            <w:shd w:val="clear" w:color="auto" w:fill="EFF9FC"/>
          </w:tcPr>
          <w:p>
            <w:pPr>
              <w:jc w:val="left"/>
            </w:pPr>
            <w:r>
              <w:rPr>
                <w:rFonts w:ascii="Calibri" w:hAnsi="Calibri"/>
                <w:b w:val="0"/>
                <w:i w:val="0"/>
                <w:sz w:val="18"/>
              </w:rPr>
              <w:t>—</w:t>
            </w:r>
          </w:p>
        </w:tc>
        <w:tc>
          <w:tcPr>
            <w:tcW w:type="dxa" w:w="1560"/>
            <w:shd w:val="clear" w:color="auto" w:fill="EFF9FC"/>
          </w:tcPr>
          <w:p>
            <w:pPr>
              <w:jc w:val="left"/>
            </w:pPr>
            <w:r>
              <w:rPr>
                <w:rFonts w:ascii="Calibri" w:hAnsi="Calibri"/>
                <w:b w:val="0"/>
                <w:i w:val="0"/>
                <w:color w:val="0B3D91"/>
                <w:sz w:val="18"/>
              </w:rPr>
              <w:t>+60</w:t>
            </w:r>
          </w:p>
        </w:tc>
      </w:tr>
    </w:tbl>
    <w:p/>
    <w:p>
      <w:r>
        <w:rPr>
          <w:rFonts w:ascii="Calibri" w:hAnsi="Calibri"/>
          <w:b/>
          <w:color w:val="0A2540"/>
          <w:sz w:val="22"/>
        </w:rPr>
        <w:t>Typical Office Floor — Breakdown</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0A2540"/>
          </w:tcPr>
          <w:p>
            <w:pPr>
              <w:jc w:val="center"/>
            </w:pPr>
            <w:r>
              <w:rPr>
                <w:rFonts w:ascii="Calibri" w:hAnsi="Calibri"/>
                <w:b/>
                <w:i w:val="0"/>
                <w:color w:val="FFFFFF"/>
                <w:sz w:val="18"/>
              </w:rPr>
              <w:t>Item</w:t>
            </w:r>
          </w:p>
        </w:tc>
        <w:tc>
          <w:tcPr>
            <w:tcW w:type="dxa" w:w="3120"/>
            <w:shd w:val="clear" w:color="auto" w:fill="0A2540"/>
          </w:tcPr>
          <w:p>
            <w:pPr>
              <w:jc w:val="center"/>
            </w:pPr>
            <w:r>
              <w:rPr>
                <w:rFonts w:ascii="Calibri" w:hAnsi="Calibri"/>
                <w:b/>
                <w:i w:val="0"/>
                <w:color w:val="FFFFFF"/>
                <w:sz w:val="18"/>
              </w:rPr>
              <w:t>Fresh (L/s)</w:t>
            </w:r>
          </w:p>
        </w:tc>
        <w:tc>
          <w:tcPr>
            <w:tcW w:type="dxa" w:w="3120"/>
            <w:shd w:val="clear" w:color="auto" w:fill="0A2540"/>
          </w:tcPr>
          <w:p>
            <w:pPr>
              <w:jc w:val="center"/>
            </w:pPr>
            <w:r>
              <w:rPr>
                <w:rFonts w:ascii="Calibri" w:hAnsi="Calibri"/>
                <w:b/>
                <w:i w:val="0"/>
                <w:color w:val="FFFFFF"/>
                <w:sz w:val="18"/>
              </w:rPr>
              <w:t>Extract (L/s)</w:t>
            </w:r>
          </w:p>
        </w:tc>
      </w:tr>
      <w:tr>
        <w:tc>
          <w:tcPr>
            <w:tcW w:type="dxa" w:w="3120"/>
            <w:shd w:val="clear" w:color="auto" w:fill="EFF9FC"/>
          </w:tcPr>
          <w:p>
            <w:pPr>
              <w:jc w:val="left"/>
            </w:pPr>
            <w:r>
              <w:rPr>
                <w:rFonts w:ascii="Calibri" w:hAnsi="Calibri"/>
                <w:b/>
                <w:i w:val="0"/>
                <w:sz w:val="18"/>
              </w:rPr>
              <w:t>Open Plan Office×1</w:t>
            </w:r>
          </w:p>
        </w:tc>
        <w:tc>
          <w:tcPr>
            <w:tcW w:type="dxa" w:w="3120"/>
            <w:shd w:val="clear" w:color="auto" w:fill="EFF9FC"/>
          </w:tcPr>
          <w:p>
            <w:pPr>
              <w:jc w:val="left"/>
            </w:pPr>
            <w:r>
              <w:rPr>
                <w:rFonts w:ascii="Calibri" w:hAnsi="Calibri"/>
                <w:b w:val="0"/>
                <w:i w:val="0"/>
                <w:sz w:val="18"/>
              </w:rPr>
              <w:t>349</w:t>
            </w:r>
          </w:p>
        </w:tc>
        <w:tc>
          <w:tcPr>
            <w:tcW w:type="dxa" w:w="3120"/>
            <w:shd w:val="clear" w:color="auto" w:fill="EFF9FC"/>
          </w:tcPr>
          <w:p>
            <w:pPr>
              <w:jc w:val="left"/>
            </w:pPr>
            <w:r>
              <w:rPr>
                <w:rFonts w:ascii="Calibri" w:hAnsi="Calibri"/>
                <w:b w:val="0"/>
                <w:i w:val="0"/>
                <w:color w:val="0B3D91"/>
                <w:sz w:val="18"/>
              </w:rPr>
              <w:t>315</w:t>
            </w:r>
          </w:p>
        </w:tc>
      </w:tr>
      <w:tr>
        <w:tc>
          <w:tcPr>
            <w:tcW w:type="dxa" w:w="3120"/>
            <w:shd w:val="clear" w:color="auto" w:fill="FFFFFF"/>
          </w:tcPr>
          <w:p>
            <w:pPr>
              <w:jc w:val="left"/>
            </w:pPr>
            <w:r>
              <w:rPr>
                <w:rFonts w:ascii="Calibri" w:hAnsi="Calibri"/>
                <w:b/>
                <w:i w:val="0"/>
                <w:sz w:val="18"/>
              </w:rPr>
              <w:t>Meeting Room×2</w:t>
            </w:r>
          </w:p>
        </w:tc>
        <w:tc>
          <w:tcPr>
            <w:tcW w:type="dxa" w:w="3120"/>
            <w:shd w:val="clear" w:color="auto" w:fill="FFFFFF"/>
          </w:tcPr>
          <w:p>
            <w:pPr>
              <w:jc w:val="left"/>
            </w:pPr>
            <w:r>
              <w:rPr>
                <w:rFonts w:ascii="Calibri" w:hAnsi="Calibri"/>
                <w:b w:val="0"/>
                <w:i w:val="0"/>
                <w:sz w:val="18"/>
              </w:rPr>
              <w:t>142</w:t>
            </w:r>
          </w:p>
        </w:tc>
        <w:tc>
          <w:tcPr>
            <w:tcW w:type="dxa" w:w="3120"/>
            <w:shd w:val="clear" w:color="auto" w:fill="FFFFFF"/>
          </w:tcPr>
          <w:p>
            <w:pPr>
              <w:jc w:val="left"/>
            </w:pPr>
            <w:r>
              <w:rPr>
                <w:rFonts w:ascii="Calibri" w:hAnsi="Calibri"/>
                <w:b w:val="0"/>
                <w:i w:val="0"/>
                <w:color w:val="0B3D91"/>
                <w:sz w:val="18"/>
              </w:rPr>
              <w:t>128</w:t>
            </w:r>
          </w:p>
        </w:tc>
      </w:tr>
      <w:tr>
        <w:tc>
          <w:tcPr>
            <w:tcW w:type="dxa" w:w="3120"/>
            <w:shd w:val="clear" w:color="auto" w:fill="EFF9FC"/>
          </w:tcPr>
          <w:p>
            <w:pPr>
              <w:jc w:val="left"/>
            </w:pPr>
            <w:r>
              <w:rPr>
                <w:rFonts w:ascii="Calibri" w:hAnsi="Calibri"/>
                <w:b/>
                <w:i w:val="0"/>
                <w:sz w:val="18"/>
              </w:rPr>
              <w:t>Floor Reception×1</w:t>
            </w:r>
          </w:p>
        </w:tc>
        <w:tc>
          <w:tcPr>
            <w:tcW w:type="dxa" w:w="3120"/>
            <w:shd w:val="clear" w:color="auto" w:fill="EFF9FC"/>
          </w:tcPr>
          <w:p>
            <w:pPr>
              <w:jc w:val="left"/>
            </w:pPr>
            <w:r>
              <w:rPr>
                <w:rFonts w:ascii="Calibri" w:hAnsi="Calibri"/>
                <w:b w:val="0"/>
                <w:i w:val="0"/>
                <w:sz w:val="18"/>
              </w:rPr>
              <w:t>42</w:t>
            </w:r>
          </w:p>
        </w:tc>
        <w:tc>
          <w:tcPr>
            <w:tcW w:type="dxa" w:w="3120"/>
            <w:shd w:val="clear" w:color="auto" w:fill="EFF9FC"/>
          </w:tcPr>
          <w:p>
            <w:pPr>
              <w:jc w:val="left"/>
            </w:pPr>
            <w:r>
              <w:rPr>
                <w:rFonts w:ascii="Calibri" w:hAnsi="Calibri"/>
                <w:b w:val="0"/>
                <w:i w:val="0"/>
                <w:color w:val="0B3D91"/>
                <w:sz w:val="18"/>
              </w:rPr>
              <w:t>38</w:t>
            </w:r>
          </w:p>
        </w:tc>
      </w:tr>
      <w:tr>
        <w:tc>
          <w:tcPr>
            <w:tcW w:type="dxa" w:w="3120"/>
            <w:shd w:val="clear" w:color="auto" w:fill="FFFFFF"/>
          </w:tcPr>
          <w:p>
            <w:pPr>
              <w:jc w:val="left"/>
            </w:pPr>
            <w:r>
              <w:rPr>
                <w:rFonts w:ascii="Calibri" w:hAnsi="Calibri"/>
                <w:b/>
                <w:i w:val="0"/>
                <w:sz w:val="18"/>
              </w:rPr>
              <w:t>Pantry / Break Room×1</w:t>
            </w:r>
          </w:p>
        </w:tc>
        <w:tc>
          <w:tcPr>
            <w:tcW w:type="dxa" w:w="3120"/>
            <w:shd w:val="clear" w:color="auto" w:fill="FFFFFF"/>
          </w:tcPr>
          <w:p>
            <w:pPr>
              <w:jc w:val="left"/>
            </w:pPr>
            <w:r>
              <w:rPr>
                <w:rFonts w:ascii="Calibri" w:hAnsi="Calibri"/>
                <w:b w:val="0"/>
                <w:i w:val="0"/>
                <w:sz w:val="18"/>
              </w:rPr>
              <w:t>56</w:t>
            </w:r>
          </w:p>
        </w:tc>
        <w:tc>
          <w:tcPr>
            <w:tcW w:type="dxa" w:w="3120"/>
            <w:shd w:val="clear" w:color="auto" w:fill="FFFFFF"/>
          </w:tcPr>
          <w:p>
            <w:pPr>
              <w:jc w:val="left"/>
            </w:pPr>
            <w:r>
              <w:rPr>
                <w:rFonts w:ascii="Calibri" w:hAnsi="Calibri"/>
                <w:b w:val="0"/>
                <w:i w:val="0"/>
                <w:color w:val="0B3D91"/>
                <w:sz w:val="18"/>
              </w:rPr>
              <w:t>51</w:t>
            </w:r>
          </w:p>
        </w:tc>
      </w:tr>
      <w:tr>
        <w:tc>
          <w:tcPr>
            <w:tcW w:type="dxa" w:w="3120"/>
            <w:shd w:val="clear" w:color="auto" w:fill="EFF9FC"/>
          </w:tcPr>
          <w:p>
            <w:pPr>
              <w:jc w:val="left"/>
            </w:pPr>
            <w:r>
              <w:rPr>
                <w:rFonts w:ascii="Calibri" w:hAnsi="Calibri"/>
                <w:b/>
                <w:i w:val="0"/>
                <w:sz w:val="18"/>
              </w:rPr>
              <w:t>Lift Lobby / Corridor×1</w:t>
            </w:r>
          </w:p>
        </w:tc>
        <w:tc>
          <w:tcPr>
            <w:tcW w:type="dxa" w:w="3120"/>
            <w:shd w:val="clear" w:color="auto" w:fill="EFF9FC"/>
          </w:tcPr>
          <w:p>
            <w:pPr>
              <w:jc w:val="left"/>
            </w:pPr>
            <w:r>
              <w:rPr>
                <w:rFonts w:ascii="Calibri" w:hAnsi="Calibri"/>
                <w:b w:val="0"/>
                <w:i w:val="0"/>
                <w:sz w:val="18"/>
              </w:rPr>
              <w:t>33</w:t>
            </w:r>
          </w:p>
        </w:tc>
        <w:tc>
          <w:tcPr>
            <w:tcW w:type="dxa" w:w="3120"/>
            <w:shd w:val="clear" w:color="auto" w:fill="EFF9FC"/>
          </w:tcPr>
          <w:p>
            <w:pPr>
              <w:jc w:val="left"/>
            </w:pPr>
            <w:r>
              <w:rPr>
                <w:rFonts w:ascii="Calibri" w:hAnsi="Calibri"/>
                <w:b w:val="0"/>
                <w:i w:val="0"/>
                <w:color w:val="0B3D91"/>
                <w:sz w:val="18"/>
              </w:rPr>
              <w:t>30</w:t>
            </w:r>
          </w:p>
        </w:tc>
      </w:tr>
      <w:tr>
        <w:tc>
          <w:tcPr>
            <w:tcW w:type="dxa" w:w="3120"/>
            <w:shd w:val="clear" w:color="auto" w:fill="FFFFFF"/>
          </w:tcPr>
          <w:p>
            <w:pPr>
              <w:jc w:val="left"/>
            </w:pPr>
            <w:r>
              <w:rPr>
                <w:rFonts w:ascii="Calibri" w:hAnsi="Calibri"/>
                <w:b/>
                <w:i w:val="0"/>
                <w:sz w:val="18"/>
              </w:rPr>
              <w:t>TOTAL</w:t>
            </w:r>
          </w:p>
        </w:tc>
        <w:tc>
          <w:tcPr>
            <w:tcW w:type="dxa" w:w="3120"/>
            <w:shd w:val="clear" w:color="auto" w:fill="FFFFFF"/>
          </w:tcPr>
          <w:p>
            <w:pPr>
              <w:jc w:val="left"/>
            </w:pPr>
            <w:r>
              <w:rPr>
                <w:rFonts w:ascii="Calibri" w:hAnsi="Calibri"/>
                <w:b w:val="0"/>
                <w:i w:val="0"/>
                <w:sz w:val="18"/>
              </w:rPr>
              <w:t>622</w:t>
            </w:r>
          </w:p>
        </w:tc>
        <w:tc>
          <w:tcPr>
            <w:tcW w:type="dxa" w:w="3120"/>
            <w:shd w:val="clear" w:color="auto" w:fill="FFFFFF"/>
          </w:tcPr>
          <w:p>
            <w:pPr>
              <w:jc w:val="left"/>
            </w:pPr>
            <w:r>
              <w:rPr>
                <w:rFonts w:ascii="Calibri" w:hAnsi="Calibri"/>
                <w:b w:val="0"/>
                <w:i w:val="0"/>
                <w:color w:val="0B3D91"/>
                <w:sz w:val="18"/>
              </w:rPr>
              <w:t>562</w:t>
            </w:r>
          </w:p>
        </w:tc>
      </w:tr>
    </w:tbl>
    <w:p/>
    <w:p>
      <w:pPr>
        <w:pStyle w:val="Heading1"/>
        <w:pBdr>
          <w:bottom w:val="single" w:sz="6" w:space="4" w:color="0A2540"/>
        </w:pBdr>
      </w:pPr>
      <w:r>
        <w:rPr>
          <w:rFonts w:ascii="Calibri" w:hAnsi="Calibri"/>
          <w:b/>
          <w:color w:val="0A2540"/>
          <w:sz w:val="26"/>
        </w:rPr>
        <w:t>5.  FAHU</w:t>
      </w:r>
    </w:p>
    <w:p>
      <w:r>
        <w:rPr>
          <w:rFonts w:ascii="Calibri" w:hAnsi="Calibri"/>
          <w:b/>
          <w:color w:val="0A2540"/>
          <w:sz w:val="22"/>
        </w:rPr>
        <w:t>FAHU-01</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Total Fresh (L/s)</w:t>
            </w:r>
          </w:p>
        </w:tc>
        <w:tc>
          <w:tcPr>
            <w:tcW w:type="dxa" w:w="4680"/>
            <w:shd w:val="clear" w:color="auto" w:fill="EFF9FC"/>
          </w:tcPr>
          <w:p>
            <w:pPr>
              <w:jc w:val="left"/>
            </w:pPr>
            <w:r>
              <w:rPr>
                <w:rFonts w:ascii="Calibri" w:hAnsi="Calibri"/>
                <w:b/>
                <w:i w:val="0"/>
                <w:color w:val="0B3D91"/>
                <w:sz w:val="18"/>
              </w:rPr>
              <w:t>6220</w:t>
            </w:r>
          </w:p>
        </w:tc>
      </w:tr>
      <w:tr>
        <w:tc>
          <w:tcPr>
            <w:tcW w:type="dxa" w:w="4680"/>
            <w:shd w:val="clear" w:color="auto" w:fill="FFFFFF"/>
          </w:tcPr>
          <w:p>
            <w:pPr>
              <w:jc w:val="left"/>
            </w:pPr>
            <w:r>
              <w:rPr>
                <w:rFonts w:ascii="Calibri" w:hAnsi="Calibri"/>
                <w:b w:val="0"/>
                <w:i w:val="0"/>
                <w:sz w:val="18"/>
              </w:rPr>
              <w:t>Total Extract (L/s)</w:t>
            </w:r>
          </w:p>
        </w:tc>
        <w:tc>
          <w:tcPr>
            <w:tcW w:type="dxa" w:w="4680"/>
            <w:shd w:val="clear" w:color="auto" w:fill="FFFFFF"/>
          </w:tcPr>
          <w:p>
            <w:pPr>
              <w:jc w:val="left"/>
            </w:pPr>
            <w:r>
              <w:rPr>
                <w:rFonts w:ascii="Calibri" w:hAnsi="Calibri"/>
                <w:b/>
                <w:i w:val="0"/>
                <w:color w:val="0B3D91"/>
                <w:sz w:val="18"/>
              </w:rPr>
              <w:t>5620</w:t>
            </w:r>
          </w:p>
        </w:tc>
      </w:tr>
    </w:tbl>
    <w:p/>
    <w:tbl>
      <w:tblPr>
        <w:tblStyle w:val="TableGrid"/>
        <w:tblW w:type="auto" w:w="0"/>
        <w:tblLook w:firstColumn="1" w:firstRow="1" w:lastColumn="0" w:lastRow="0" w:noHBand="0" w:noVBand="1" w:val="04A0"/>
      </w:tblPr>
      <w:tblGrid>
        <w:gridCol w:w="2340"/>
        <w:gridCol w:w="2340"/>
        <w:gridCol w:w="2340"/>
        <w:gridCol w:w="2340"/>
      </w:tblGrid>
      <w:tr>
        <w:tc>
          <w:tcPr>
            <w:tcW w:type="dxa" w:w="2340"/>
            <w:shd w:val="clear" w:color="auto" w:fill="0A2540"/>
          </w:tcPr>
          <w:p>
            <w:pPr>
              <w:jc w:val="center"/>
            </w:pPr>
            <w:r>
              <w:rPr>
                <w:rFonts w:ascii="Calibri" w:hAnsi="Calibri"/>
                <w:b/>
                <w:i w:val="0"/>
                <w:color w:val="FFFFFF"/>
                <w:sz w:val="18"/>
              </w:rPr>
              <w:t>Served Floor</w:t>
            </w:r>
          </w:p>
        </w:tc>
        <w:tc>
          <w:tcPr>
            <w:tcW w:type="dxa" w:w="2340"/>
            <w:shd w:val="clear" w:color="auto" w:fill="0A2540"/>
          </w:tcPr>
          <w:p>
            <w:pPr>
              <w:jc w:val="center"/>
            </w:pPr>
            <w:r>
              <w:rPr>
                <w:rFonts w:ascii="Calibri" w:hAnsi="Calibri"/>
                <w:b/>
                <w:i w:val="0"/>
                <w:color w:val="FFFFFF"/>
                <w:sz w:val="18"/>
              </w:rPr>
              <w:t>Qty</w:t>
            </w:r>
          </w:p>
        </w:tc>
        <w:tc>
          <w:tcPr>
            <w:tcW w:type="dxa" w:w="2340"/>
            <w:shd w:val="clear" w:color="auto" w:fill="0A2540"/>
          </w:tcPr>
          <w:p>
            <w:pPr>
              <w:jc w:val="center"/>
            </w:pPr>
            <w:r>
              <w:rPr>
                <w:rFonts w:ascii="Calibri" w:hAnsi="Calibri"/>
                <w:b/>
                <w:i w:val="0"/>
                <w:color w:val="FFFFFF"/>
                <w:sz w:val="18"/>
              </w:rPr>
              <w:t>Fresh (L/s)</w:t>
            </w:r>
          </w:p>
        </w:tc>
        <w:tc>
          <w:tcPr>
            <w:tcW w:type="dxa" w:w="2340"/>
            <w:shd w:val="clear" w:color="auto" w:fill="0A2540"/>
          </w:tcPr>
          <w:p>
            <w:pPr>
              <w:jc w:val="center"/>
            </w:pPr>
            <w:r>
              <w:rPr>
                <w:rFonts w:ascii="Calibri" w:hAnsi="Calibri"/>
                <w:b/>
                <w:i w:val="0"/>
                <w:color w:val="FFFFFF"/>
                <w:sz w:val="18"/>
              </w:rPr>
              <w:t>Extract (L/s)</w:t>
            </w:r>
          </w:p>
        </w:tc>
      </w:tr>
      <w:tr>
        <w:tc>
          <w:tcPr>
            <w:tcW w:type="dxa" w:w="2340"/>
            <w:shd w:val="clear" w:color="auto" w:fill="EFF9FC"/>
          </w:tcPr>
          <w:p>
            <w:pPr>
              <w:jc w:val="left"/>
            </w:pPr>
            <w:r>
              <w:rPr>
                <w:rFonts w:ascii="Calibri" w:hAnsi="Calibri"/>
                <w:b/>
                <w:i w:val="0"/>
                <w:sz w:val="18"/>
              </w:rPr>
              <w:t>Typical Office Floor</w:t>
            </w:r>
          </w:p>
        </w:tc>
        <w:tc>
          <w:tcPr>
            <w:tcW w:type="dxa" w:w="2340"/>
            <w:shd w:val="clear" w:color="auto" w:fill="EFF9FC"/>
          </w:tcPr>
          <w:p>
            <w:pPr>
              <w:jc w:val="left"/>
            </w:pPr>
            <w:r>
              <w:rPr>
                <w:rFonts w:ascii="Calibri" w:hAnsi="Calibri"/>
                <w:b w:val="0"/>
                <w:i w:val="0"/>
                <w:sz w:val="18"/>
              </w:rPr>
              <w:t>10</w:t>
            </w:r>
          </w:p>
        </w:tc>
        <w:tc>
          <w:tcPr>
            <w:tcW w:type="dxa" w:w="2340"/>
            <w:shd w:val="clear" w:color="auto" w:fill="EFF9FC"/>
          </w:tcPr>
          <w:p>
            <w:pPr>
              <w:jc w:val="left"/>
            </w:pPr>
            <w:r>
              <w:rPr>
                <w:rFonts w:ascii="Calibri" w:hAnsi="Calibri"/>
                <w:b w:val="0"/>
                <w:i w:val="0"/>
                <w:sz w:val="18"/>
              </w:rPr>
              <w:t>6220</w:t>
            </w:r>
          </w:p>
        </w:tc>
        <w:tc>
          <w:tcPr>
            <w:tcW w:type="dxa" w:w="2340"/>
            <w:shd w:val="clear" w:color="auto" w:fill="EFF9FC"/>
          </w:tcPr>
          <w:p>
            <w:pPr>
              <w:jc w:val="left"/>
            </w:pPr>
            <w:r>
              <w:rPr>
                <w:rFonts w:ascii="Calibri" w:hAnsi="Calibri"/>
                <w:b w:val="0"/>
                <w:i w:val="0"/>
                <w:color w:val="0B3D91"/>
                <w:sz w:val="18"/>
              </w:rPr>
              <w:t>5620</w:t>
            </w:r>
          </w:p>
        </w:tc>
      </w:tr>
    </w:tbl>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Preliminary unit type</w:t>
            </w:r>
          </w:p>
        </w:tc>
        <w:tc>
          <w:tcPr>
            <w:tcW w:type="dxa" w:w="4680"/>
            <w:shd w:val="clear" w:color="auto" w:fill="EFF9FC"/>
          </w:tcPr>
          <w:p>
            <w:pPr>
              <w:jc w:val="left"/>
            </w:pPr>
            <w:r>
              <w:rPr>
                <w:rFonts w:ascii="Calibri" w:hAnsi="Calibri"/>
                <w:b/>
                <w:i w:val="0"/>
                <w:color w:val="0B3D91"/>
                <w:sz w:val="18"/>
              </w:rPr>
              <w:t>Single recovery wheel + heat pipes</w:t>
            </w:r>
          </w:p>
        </w:tc>
      </w:tr>
      <w:tr>
        <w:tc>
          <w:tcPr>
            <w:tcW w:type="dxa" w:w="4680"/>
            <w:shd w:val="clear" w:color="auto" w:fill="FFFFFF"/>
          </w:tcPr>
          <w:p>
            <w:pPr>
              <w:jc w:val="left"/>
            </w:pPr>
            <w:r>
              <w:rPr>
                <w:rFonts w:ascii="Calibri" w:hAnsi="Calibri"/>
                <w:b w:val="0"/>
                <w:i w:val="0"/>
                <w:sz w:val="18"/>
              </w:rPr>
              <w:t>Indicative envelope L x W x H</w:t>
            </w:r>
          </w:p>
        </w:tc>
        <w:tc>
          <w:tcPr>
            <w:tcW w:type="dxa" w:w="4680"/>
            <w:shd w:val="clear" w:color="auto" w:fill="FFFFFF"/>
          </w:tcPr>
          <w:p>
            <w:pPr>
              <w:jc w:val="left"/>
            </w:pPr>
            <w:r>
              <w:rPr>
                <w:rFonts w:ascii="Calibri" w:hAnsi="Calibri"/>
                <w:b/>
                <w:i w:val="0"/>
                <w:color w:val="0B3D91"/>
                <w:sz w:val="18"/>
              </w:rPr>
              <w:t>5638 x 2650 x 3600 mm</w:t>
            </w:r>
          </w:p>
        </w:tc>
      </w:tr>
      <w:tr>
        <w:tc>
          <w:tcPr>
            <w:tcW w:type="dxa" w:w="4680"/>
            <w:shd w:val="clear" w:color="auto" w:fill="EFF9FC"/>
          </w:tcPr>
          <w:p>
            <w:pPr>
              <w:jc w:val="left"/>
            </w:pPr>
            <w:r>
              <w:rPr>
                <w:rFonts w:ascii="Calibri" w:hAnsi="Calibri"/>
                <w:b w:val="0"/>
                <w:i w:val="0"/>
                <w:sz w:val="18"/>
              </w:rPr>
              <w:t>Selection basis</w:t>
            </w:r>
          </w:p>
        </w:tc>
        <w:tc>
          <w:tcPr>
            <w:tcW w:type="dxa" w:w="4680"/>
            <w:shd w:val="clear" w:color="auto" w:fill="EFF9FC"/>
          </w:tcPr>
          <w:p>
            <w:pPr>
              <w:jc w:val="left"/>
            </w:pPr>
            <w:r>
              <w:rPr>
                <w:rFonts w:ascii="Calibri" w:hAnsi="Calibri"/>
                <w:b/>
                <w:i w:val="0"/>
                <w:color w:val="0B3D91"/>
                <w:sz w:val="18"/>
              </w:rPr>
              <w:t>Envelope selected on the SI total 6,220 L/s (TAH-150 band, 7,252 L/s)</w:t>
            </w:r>
          </w:p>
        </w:tc>
      </w:tr>
      <w:tr>
        <w:tc>
          <w:tcPr>
            <w:tcW w:type="dxa" w:w="4680"/>
            <w:shd w:val="clear" w:color="auto" w:fill="FFFFFF"/>
          </w:tcPr>
          <w:p>
            <w:pPr>
              <w:jc w:val="left"/>
            </w:pPr>
            <w:r>
              <w:rPr>
                <w:rFonts w:ascii="Calibri" w:hAnsi="Calibri"/>
                <w:b w:val="0"/>
                <w:i w:val="0"/>
                <w:sz w:val="18"/>
              </w:rPr>
              <w:t>Operating weight (per unit)</w:t>
            </w:r>
          </w:p>
        </w:tc>
        <w:tc>
          <w:tcPr>
            <w:tcW w:type="dxa" w:w="4680"/>
            <w:shd w:val="clear" w:color="auto" w:fill="FFFFFF"/>
          </w:tcPr>
          <w:p>
            <w:pPr>
              <w:jc w:val="left"/>
            </w:pPr>
            <w:r>
              <w:rPr>
                <w:rFonts w:ascii="Calibri" w:hAnsi="Calibri"/>
                <w:b/>
                <w:i w:val="0"/>
                <w:color w:val="0B3D91"/>
                <w:sz w:val="18"/>
              </w:rPr>
              <w:t>3,250 kg</w:t>
            </w:r>
          </w:p>
        </w:tc>
      </w:tr>
      <w:tr>
        <w:tc>
          <w:tcPr>
            <w:tcW w:type="dxa" w:w="4680"/>
            <w:shd w:val="clear" w:color="auto" w:fill="EFF9FC"/>
          </w:tcPr>
          <w:p>
            <w:pPr>
              <w:jc w:val="left"/>
            </w:pPr>
            <w:r>
              <w:rPr>
                <w:rFonts w:ascii="Calibri" w:hAnsi="Calibri"/>
                <w:b w:val="0"/>
                <w:i w:val="0"/>
                <w:sz w:val="18"/>
              </w:rPr>
              <w:t>Foundation (concrete plinth)</w:t>
            </w:r>
          </w:p>
        </w:tc>
        <w:tc>
          <w:tcPr>
            <w:tcW w:type="dxa" w:w="4680"/>
            <w:shd w:val="clear" w:color="auto" w:fill="EFF9FC"/>
          </w:tcPr>
          <w:p>
            <w:pPr>
              <w:jc w:val="left"/>
            </w:pPr>
            <w:r>
              <w:rPr>
                <w:rFonts w:ascii="Calibri" w:hAnsi="Calibri"/>
                <w:b/>
                <w:i w:val="0"/>
                <w:color w:val="0B3D91"/>
                <w:sz w:val="18"/>
              </w:rPr>
              <w:t>5838 x 2850 x 200 mm high (unit + 100 mm all around)</w:t>
            </w:r>
          </w:p>
        </w:tc>
      </w:tr>
      <w:tr>
        <w:tc>
          <w:tcPr>
            <w:tcW w:type="dxa" w:w="4680"/>
            <w:shd w:val="clear" w:color="auto" w:fill="FFFFFF"/>
          </w:tcPr>
          <w:p>
            <w:pPr>
              <w:jc w:val="left"/>
            </w:pPr>
            <w:r>
              <w:rPr>
                <w:rFonts w:ascii="Calibri" w:hAnsi="Calibri"/>
                <w:b w:val="0"/>
                <w:i w:val="0"/>
                <w:sz w:val="18"/>
              </w:rPr>
              <w:t>Basis</w:t>
            </w:r>
          </w:p>
        </w:tc>
        <w:tc>
          <w:tcPr>
            <w:tcW w:type="dxa" w:w="4680"/>
            <w:shd w:val="clear" w:color="auto" w:fill="FFFFFF"/>
          </w:tcPr>
          <w:p>
            <w:pPr>
              <w:jc w:val="left"/>
            </w:pPr>
            <w:r>
              <w:rPr>
                <w:rFonts w:ascii="Calibri" w:hAnsi="Calibri"/>
                <w:b/>
                <w:i w:val="0"/>
                <w:color w:val="0B3D91"/>
                <w:sz w:val="18"/>
              </w:rPr>
              <w:t>Reference supplier selection envelope</w:t>
            </w:r>
          </w:p>
        </w:tc>
      </w:tr>
    </w:tbl>
    <w:p/>
    <w:tbl>
      <w:tblPr>
        <w:tblStyle w:val="TableGrid"/>
        <w:tblW w:type="auto" w:w="0"/>
        <w:tblLook w:firstColumn="1" w:firstRow="1" w:lastColumn="0" w:lastRow="0" w:noHBand="0" w:noVBand="1" w:val="04A0"/>
      </w:tblPr>
      <w:tblGrid>
        <w:gridCol w:w="9360"/>
      </w:tblGrid>
      <w:tr>
        <w:tc>
          <w:tcPr>
            <w:tcW w:type="dxa" w:w="9360"/>
            <w:shd w:val="clear" w:color="auto" w:fill="FFF4E5"/>
          </w:tcPr>
          <w:p>
            <w:pPr>
              <w:jc w:val="left"/>
            </w:pPr>
            <w:r>
              <w:rPr>
                <w:rFonts w:ascii="Calibri" w:hAnsi="Calibri"/>
                <w:b/>
                <w:i w:val="0"/>
                <w:color w:val="B45309"/>
                <w:sz w:val="20"/>
              </w:rPr>
              <w:t xml:space="preserve">  ⚠  Advisory</w:t>
            </w:r>
          </w:p>
        </w:tc>
      </w:tr>
      <w:tr>
        <w:tc>
          <w:tcPr>
            <w:tcW w:type="dxa" w:w="9360"/>
            <w:shd w:val="clear" w:color="auto" w:fill="FFF4E5"/>
          </w:tcPr>
          <w:p>
            <w:pPr>
              <w:jc w:val="left"/>
            </w:pPr>
            <w:r>
              <w:rPr>
                <w:rFonts w:ascii="Calibri" w:hAnsi="Calibri"/>
                <w:b w:val="0"/>
                <w:i w:val="0"/>
                <w:color w:val="B45309"/>
                <w:sz w:val="18"/>
              </w:rPr>
              <w:t xml:space="preserve">   • FAHU envelope is preliminary — for space planning only; obtain the actual manufacturer selection as the design progresses.</w:t>
            </w:r>
          </w:p>
        </w:tc>
      </w:tr>
    </w:tbl>
    <w:p/>
    <w:p>
      <w:r>
        <w:drawing>
          <wp:inline xmlns:a="http://schemas.openxmlformats.org/drawingml/2006/main" xmlns:pic="http://schemas.openxmlformats.org/drawingml/2006/picture">
            <wp:extent cx="5760720" cy="28571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760720" cy="2857131"/>
                    </a:xfrm>
                    <a:prstGeom prst="rect"/>
                  </pic:spPr>
                </pic:pic>
              </a:graphicData>
            </a:graphic>
          </wp:inline>
        </w:drawing>
      </w:r>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ASHRAE 62.1-2022</w:t>
      </w:r>
      <w:r>
        <w:rPr>
          <w:rFonts w:ascii="Calibri" w:hAnsi="Calibri"/>
          <w:color w:val="374151"/>
          <w:sz w:val="18"/>
        </w:rPr>
        <w:t xml:space="preserve"> — Ventilation for Acceptable Indoor Air Quality — Table 6-1 (minimum rates), Table 6-2 (exhaust rates).</w:t>
      </w:r>
    </w:p>
    <w:p>
      <w:pPr>
        <w:pStyle w:val="ListBullet"/>
      </w:pPr>
      <w:r>
        <w:rPr>
          <w:rFonts w:ascii="Calibri" w:hAnsi="Calibri"/>
          <w:b/>
          <w:color w:val="0A2540"/>
          <w:sz w:val="18"/>
        </w:rPr>
        <w:t>ASHRAE 62.2-2025</w:t>
      </w:r>
      <w:r>
        <w:rPr>
          <w:rFonts w:ascii="Calibri" w:hAnsi="Calibri"/>
          <w:color w:val="374151"/>
          <w:sz w:val="18"/>
        </w:rPr>
        <w:t xml:space="preserve"> — Ventilation and Acceptable IAQ in Residential Buildings — # 4.1 (not less than # 4.1.1 through # 4.1.4; # 4.1.3 occupant adder applied where entered; # 4.1.2 / # 4.1.4 credits not taken) and # 4.1.1 (Tables 4-1a/4-1b): total ventilation rate Qtot = 0.15*A + 3.5*(Nbr+1) L/s (Eq. 4-1b, SI) [0.03*A + 7.5*(Nbr+1) CFM (Eq. 4-1a, I-P)]; Nbr not to be less than 1; # 4.1.3 + 3.5 L/s (7.5 cfm) for each additional person; Table 5-1 demand-controlled and Table 5-2 continuous local exhaust rates, printed SI / I-P pairs.</w:t>
      </w:r>
    </w:p>
    <w:p>
      <w:pPr>
        <w:pStyle w:val="ListBullet"/>
      </w:pPr>
      <w:r>
        <w:rPr>
          <w:rFonts w:ascii="Calibri" w:hAnsi="Calibri"/>
          <w:b/>
          <w:color w:val="0A2540"/>
          <w:sz w:val="18"/>
        </w:rPr>
        <w:t>IMC 2021 # Table 403.3.1.1</w:t>
      </w:r>
      <w:r>
        <w:rPr>
          <w:rFonts w:ascii="Calibri" w:hAnsi="Calibri"/>
          <w:color w:val="374151"/>
          <w:sz w:val="18"/>
        </w:rPr>
        <w:t xml:space="preserve"> — Public-bathroom fixture exhaust rates — per water closet / urinal (note e) and per shower head (intermittent operation).</w:t>
      </w:r>
    </w:p>
    <w:p>
      <w:pPr>
        <w:pStyle w:val="ListBullet"/>
      </w:pPr>
      <w:r>
        <w:rPr>
          <w:rFonts w:ascii="Calibri" w:hAnsi="Calibri"/>
          <w:b/>
          <w:color w:val="0A2540"/>
          <w:sz w:val="18"/>
        </w:rPr>
        <w:t>IBC 2018 # 1202.1</w:t>
      </w:r>
      <w:r>
        <w:rPr>
          <w:rFonts w:ascii="Calibri" w:hAnsi="Calibri"/>
          <w:color w:val="374151"/>
          <w:sz w:val="18"/>
        </w:rPr>
        <w:t xml:space="preserve"> — Natural ventilation per # 1202.5 or mechanical ventilation per the IMC; a dwelling unit whose tested air infiltration rate is less than 5 air changes per hour (blower door at 50 Pa, IECC R402.4.1.2) shall be ventilated by mechanical means per IMC # 403. IBC prints no per-dwelling airflow; the per-dwelling floor applied by this tool - 14 L/s (30 CFM) - is the smallest printed cell of ASHRAE 62.2-2025 Table 4-1b (Table 4-1a).</w:t>
      </w:r>
    </w:p>
    <w:p>
      <w:pPr>
        <w:pStyle w:val="ListBullet"/>
      </w:pPr>
      <w:r>
        <w:rPr>
          <w:rFonts w:ascii="Calibri" w:hAnsi="Calibri"/>
          <w:b/>
          <w:color w:val="0A2540"/>
          <w:sz w:val="18"/>
        </w:rPr>
        <w:t>Reference FAHU selections</w:t>
      </w:r>
      <w:r>
        <w:rPr>
          <w:rFonts w:ascii="Calibri" w:hAnsi="Calibri"/>
          <w:color w:val="374151"/>
          <w:sz w:val="18"/>
        </w:rPr>
        <w:t xml:space="preserve"> — TROSTEN TAH catalogue (TAH-008 to TAH-450 TFM), 373-21,378 L/s — INDICATIVE.</w:t>
      </w:r>
    </w:p>
    <w:p>
      <w:r>
        <w:rPr>
          <w:rFonts w:ascii="Calibri" w:hAnsi="Calibri"/>
          <w:i/>
          <w:color w:val="6B7280"/>
          <w:sz w:val="16"/>
        </w:rPr>
        <w:t>Engineer of record: Hussein Ragab</w:t>
      </w:r>
    </w:p>
    <w:p>
      <w:r>
        <w:rPr>
          <w:rFonts w:ascii="Calibri" w:hAnsi="Calibri"/>
          <w:i/>
          <w:color w:val="6B7280"/>
          <w:sz w:val="16"/>
        </w:rPr>
        <w:t>Created by Hussein Ragab</w:t>
      </w:r>
    </w:p>
    <w:sectPr w:rsidR="00FC693F" w:rsidRPr="0006063C" w:rsidSect="00034616">
      <w:footerReference w:type="default" r:id="rId10"/>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