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360"/>
      </w:tblGrid>
      <w:tr>
        <w:tc>
          <w:tcPr>
            <w:tcW w:type="dxa" w:w="9360"/>
            <w:shd w:val="clear" w:color="auto" w:fill="0A2540"/>
          </w:tcPr>
          <w:p>
            <w:pPr>
              <w:jc w:val="center"/>
            </w:pPr>
            <w:r>
              <w:rPr>
                <w:rFonts w:ascii="Calibri" w:hAnsi="Calibri"/>
                <w:b/>
                <w:color w:val="FFFFFF"/>
                <w:sz w:val="40"/>
              </w:rPr>
              <w:t>Kitchen Hood Extract Calculation</w:t>
            </w:r>
          </w:p>
        </w:tc>
      </w:tr>
      <w:tr>
        <w:tc>
          <w:tcPr>
            <w:tcW w:type="dxa" w:w="9360"/>
            <w:shd w:val="clear" w:color="auto" w:fill="0D4F6B"/>
          </w:tcPr>
          <w:p>
            <w:pPr>
              <w:jc w:val="center"/>
            </w:pPr>
            <w:r>
              <w:rPr>
                <w:rFonts w:ascii="Calibri" w:hAnsi="Calibri"/>
                <w:b w:val="0"/>
                <w:color w:val="FFFFFF"/>
                <w:sz w:val="24"/>
              </w:rPr>
              <w:t>ASHRAE 154-2016 · Applications 2019 Ch 34 · Preliminary / approximate calculations</w:t>
            </w:r>
          </w:p>
        </w:tc>
      </w:tr>
      <w:tr>
        <w:tc>
          <w:tcPr>
            <w:tcW w:type="dxa" w:w="9360"/>
            <w:shd w:val="clear" w:color="auto" w:fill="1A3A5C"/>
          </w:tcPr>
          <w:p>
            <w:pPr>
              <w:jc w:val="center"/>
            </w:pPr>
            <w:r>
              <w:rPr>
                <w:rFonts w:ascii="Calibri" w:hAnsi="Calibri"/>
                <w:b w:val="0"/>
                <w:color w:val="CCF0FA"/>
                <w:sz w:val="20"/>
              </w:rPr>
              <w:t>Hood reference: KH-01</w:t>
            </w:r>
          </w:p>
        </w:tc>
      </w:tr>
    </w:tbl>
    <w:p/>
    <w:tbl>
      <w:tblPr>
        <w:tblStyle w:val="TableGrid"/>
        <w:tblW w:type="auto" w:w="0"/>
        <w:tblLook w:firstColumn="1" w:firstRow="1" w:lastColumn="0" w:lastRow="0" w:noHBand="0" w:noVBand="1" w:val="04A0"/>
      </w:tblPr>
      <w:tblGrid>
        <w:gridCol w:w="4680"/>
        <w:gridCol w:w="4680"/>
      </w:tblGrid>
      <w:tr>
        <w:tc>
          <w:tcPr>
            <w:tcW w:type="dxa" w:w="9360"/>
            <w:gridSpan w:val="2"/>
            <w:shd w:val="clear" w:color="auto" w:fill="0A2540"/>
          </w:tcPr>
          <w:p>
            <w:pPr>
              <w:jc w:val="center"/>
            </w:pPr>
            <w:r>
              <w:rPr>
                <w:rFonts w:ascii="Calibri" w:hAnsi="Calibri"/>
                <w:b/>
                <w:i w:val="0"/>
                <w:color w:val="FFFFFF"/>
                <w:sz w:val="20"/>
              </w:rPr>
              <w:t>Project Information</w:t>
            </w:r>
          </w:p>
        </w:tc>
      </w:tr>
      <w:tr>
        <w:tc>
          <w:tcPr>
            <w:tcW w:type="dxa" w:w="4680"/>
            <w:shd w:val="clear" w:color="auto" w:fill="EFF9FC"/>
          </w:tcPr>
          <w:p>
            <w:pPr>
              <w:jc w:val="left"/>
            </w:pPr>
            <w:r>
              <w:rPr>
                <w:rFonts w:ascii="Calibri" w:hAnsi="Calibri"/>
                <w:b/>
                <w:i w:val="0"/>
                <w:sz w:val="18"/>
              </w:rPr>
              <w:t>Project Name</w:t>
            </w:r>
          </w:p>
        </w:tc>
        <w:tc>
          <w:tcPr>
            <w:tcW w:type="dxa" w:w="4680"/>
            <w:shd w:val="clear" w:color="auto" w:fill="EFF9FC"/>
          </w:tcPr>
          <w:p>
            <w:pPr>
              <w:jc w:val="left"/>
            </w:pPr>
            <w:r>
              <w:rPr>
                <w:rFonts w:ascii="Calibri" w:hAnsi="Calibri"/>
                <w:b w:val="0"/>
                <w:i w:val="0"/>
                <w:color w:val="0B3D91"/>
                <w:sz w:val="18"/>
              </w:rPr>
              <w:t>Marina Commercial Tower</w:t>
            </w:r>
          </w:p>
        </w:tc>
      </w:tr>
      <w:tr>
        <w:tc>
          <w:tcPr>
            <w:tcW w:type="dxa" w:w="4680"/>
            <w:shd w:val="clear" w:color="auto" w:fill="FFFFFF"/>
          </w:tcPr>
          <w:p>
            <w:pPr>
              <w:jc w:val="left"/>
            </w:pPr>
            <w:r>
              <w:rPr>
                <w:rFonts w:ascii="Calibri" w:hAnsi="Calibri"/>
                <w:b/>
                <w:i w:val="0"/>
                <w:sz w:val="18"/>
              </w:rPr>
              <w:t>Project No.</w:t>
            </w:r>
          </w:p>
        </w:tc>
        <w:tc>
          <w:tcPr>
            <w:tcW w:type="dxa" w:w="4680"/>
            <w:shd w:val="clear" w:color="auto" w:fill="FFFFFF"/>
          </w:tcPr>
          <w:p>
            <w:pPr>
              <w:jc w:val="left"/>
            </w:pPr>
            <w:r>
              <w:rPr>
                <w:rFonts w:ascii="Calibri" w:hAnsi="Calibri"/>
                <w:b w:val="0"/>
                <w:i w:val="0"/>
                <w:color w:val="0B3D91"/>
                <w:sz w:val="18"/>
              </w:rPr>
              <w:t>MCT-2026-MEP-001</w:t>
            </w:r>
          </w:p>
        </w:tc>
      </w:tr>
      <w:tr>
        <w:tc>
          <w:tcPr>
            <w:tcW w:type="dxa" w:w="4680"/>
            <w:shd w:val="clear" w:color="auto" w:fill="EFF9FC"/>
          </w:tcPr>
          <w:p>
            <w:pPr>
              <w:jc w:val="left"/>
            </w:pPr>
            <w:r>
              <w:rPr>
                <w:rFonts w:ascii="Calibri" w:hAnsi="Calibri"/>
                <w:b/>
                <w:i w:val="0"/>
                <w:sz w:val="18"/>
              </w:rPr>
              <w:t>Revision</w:t>
            </w:r>
          </w:p>
        </w:tc>
        <w:tc>
          <w:tcPr>
            <w:tcW w:type="dxa" w:w="4680"/>
            <w:shd w:val="clear" w:color="auto" w:fill="EFF9FC"/>
          </w:tcPr>
          <w:p>
            <w:pPr>
              <w:jc w:val="left"/>
            </w:pPr>
            <w:r>
              <w:rPr>
                <w:rFonts w:ascii="Calibri" w:hAnsi="Calibri"/>
                <w:b w:val="0"/>
                <w:i w:val="0"/>
                <w:color w:val="0B3D91"/>
                <w:sz w:val="18"/>
              </w:rPr>
              <w:t>P2</w:t>
            </w:r>
          </w:p>
        </w:tc>
      </w:tr>
      <w:tr>
        <w:tc>
          <w:tcPr>
            <w:tcW w:type="dxa" w:w="4680"/>
            <w:shd w:val="clear" w:color="auto" w:fill="FFFFFF"/>
          </w:tcPr>
          <w:p>
            <w:pPr>
              <w:jc w:val="left"/>
            </w:pPr>
            <w:r>
              <w:rPr>
                <w:rFonts w:ascii="Calibri" w:hAnsi="Calibri"/>
                <w:b/>
                <w:i w:val="0"/>
                <w:sz w:val="18"/>
              </w:rPr>
              <w:t>Client</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Prepared by</w:t>
            </w:r>
          </w:p>
        </w:tc>
        <w:tc>
          <w:tcPr>
            <w:tcW w:type="dxa" w:w="4680"/>
            <w:shd w:val="clear" w:color="auto" w:fill="EFF9FC"/>
          </w:tcPr>
          <w:p>
            <w:pPr>
              <w:jc w:val="left"/>
            </w:pPr>
            <w:r>
              <w:rPr>
                <w:rFonts w:ascii="Calibri" w:hAnsi="Calibri"/>
                <w:b w:val="0"/>
                <w:i w:val="0"/>
                <w:color w:val="0B3D91"/>
                <w:sz w:val="18"/>
              </w:rPr>
              <w:t>Hussein Ragab</w:t>
            </w:r>
          </w:p>
        </w:tc>
      </w:tr>
      <w:tr>
        <w:tc>
          <w:tcPr>
            <w:tcW w:type="dxa" w:w="4680"/>
            <w:shd w:val="clear" w:color="auto" w:fill="FFFFFF"/>
          </w:tcPr>
          <w:p>
            <w:pPr>
              <w:jc w:val="left"/>
            </w:pPr>
            <w:r>
              <w:rPr>
                <w:rFonts w:ascii="Calibri" w:hAnsi="Calibri"/>
                <w:b/>
                <w:i w:val="0"/>
                <w:sz w:val="18"/>
              </w:rPr>
              <w:t>Checked by</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Date</w:t>
            </w:r>
          </w:p>
        </w:tc>
        <w:tc>
          <w:tcPr>
            <w:tcW w:type="dxa" w:w="4680"/>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  Rates printed by a standard (cfm per linear foot, L/s per metre) are shown as printed and are never re-converted.</w:t>
      </w:r>
    </w:p>
    <w:p>
      <w:pPr>
        <w:pStyle w:val="Heading1"/>
        <w:pBdr>
          <w:bottom w:val="single" w:sz="6" w:space="4" w:color="0A2540"/>
        </w:pBdr>
      </w:pPr>
      <w:r>
        <w:rPr>
          <w:rFonts w:ascii="Calibri" w:hAnsi="Calibri"/>
          <w:b/>
          <w:color w:val="0A2540"/>
          <w:sz w:val="26"/>
        </w:rPr>
        <w:t>1.  Methodology</w:t>
      </w:r>
    </w:p>
    <w:p>
      <w:r>
        <w:t>Exhaust flow is taken from the appliance duty class and the hood style, applied per linear metre of hood. Type II hoods use the minimum net exhaust rates printed in ANSI/ASHRAE Standard 154-2016 Table 4. Type I hoods must be listed to UL 710 (154-2016 # 4.1.1); where no listed rate is supplied, the typical range for listed hoods in ASHRAE Handbook — HVAC Applications 2019 Chapter 34 Table 5 is used at the selected design point. The duty class is that of the heaviest appliance beneath the hood (Type I: Chapter 34 p. 34.13; Type II: 154-2016 # 4.4.1).</w:t>
      </w:r>
    </w:p>
    <w:p>
      <w:pPr>
        <w:pStyle w:val="Heading1"/>
        <w:pBdr>
          <w:bottom w:val="single" w:sz="6" w:space="4" w:color="0A2540"/>
        </w:pBdr>
      </w:pPr>
      <w:r>
        <w:rPr>
          <w:rFonts w:ascii="Calibri" w:hAnsi="Calibri"/>
          <w:b/>
          <w:color w:val="0A2540"/>
          <w:sz w:val="26"/>
        </w:rPr>
        <w:t>2.  Inputs</w:t>
      </w:r>
    </w:p>
    <w:p>
      <w:r>
        <w:rPr>
          <w:rFonts w:ascii="Calibri" w:hAnsi="Calibri"/>
          <w:b/>
          <w:color w:val="0A2540"/>
          <w:sz w:val="22"/>
        </w:rPr>
        <w:t>Hood</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Tag</w:t>
            </w:r>
          </w:p>
        </w:tc>
        <w:tc>
          <w:tcPr>
            <w:tcW w:type="dxa" w:w="4680"/>
            <w:shd w:val="clear" w:color="auto" w:fill="EFF9FC"/>
          </w:tcPr>
          <w:p>
            <w:pPr>
              <w:jc w:val="left"/>
            </w:pPr>
            <w:r>
              <w:rPr>
                <w:rFonts w:ascii="Calibri" w:hAnsi="Calibri"/>
                <w:b/>
                <w:i w:val="0"/>
                <w:color w:val="0B3D91"/>
                <w:sz w:val="18"/>
              </w:rPr>
              <w:t>KH-01</w:t>
            </w:r>
          </w:p>
        </w:tc>
      </w:tr>
      <w:tr>
        <w:tc>
          <w:tcPr>
            <w:tcW w:type="dxa" w:w="4680"/>
            <w:shd w:val="clear" w:color="auto" w:fill="FFFFFF"/>
          </w:tcPr>
          <w:p>
            <w:pPr>
              <w:jc w:val="left"/>
            </w:pPr>
            <w:r>
              <w:rPr>
                <w:rFonts w:ascii="Calibri" w:hAnsi="Calibri"/>
                <w:b w:val="0"/>
                <w:i w:val="0"/>
                <w:sz w:val="18"/>
              </w:rPr>
              <w:t>Style</w:t>
            </w:r>
          </w:p>
        </w:tc>
        <w:tc>
          <w:tcPr>
            <w:tcW w:type="dxa" w:w="4680"/>
            <w:shd w:val="clear" w:color="auto" w:fill="FFFFFF"/>
          </w:tcPr>
          <w:p>
            <w:pPr>
              <w:jc w:val="left"/>
            </w:pPr>
            <w:r>
              <w:rPr>
                <w:rFonts w:ascii="Calibri" w:hAnsi="Calibri"/>
                <w:b/>
                <w:i w:val="0"/>
                <w:color w:val="0B3D91"/>
                <w:sz w:val="18"/>
              </w:rPr>
              <w:t>Wall-mounted canopy</w:t>
            </w:r>
          </w:p>
        </w:tc>
      </w:tr>
      <w:tr>
        <w:tc>
          <w:tcPr>
            <w:tcW w:type="dxa" w:w="4680"/>
            <w:shd w:val="clear" w:color="auto" w:fill="EFF9FC"/>
          </w:tcPr>
          <w:p>
            <w:pPr>
              <w:jc w:val="left"/>
            </w:pPr>
            <w:r>
              <w:rPr>
                <w:rFonts w:ascii="Calibri" w:hAnsi="Calibri"/>
                <w:b w:val="0"/>
                <w:i w:val="0"/>
                <w:sz w:val="18"/>
              </w:rPr>
              <w:t>Type</w:t>
            </w:r>
          </w:p>
        </w:tc>
        <w:tc>
          <w:tcPr>
            <w:tcW w:type="dxa" w:w="4680"/>
            <w:shd w:val="clear" w:color="auto" w:fill="EFF9FC"/>
          </w:tcPr>
          <w:p>
            <w:pPr>
              <w:jc w:val="left"/>
            </w:pPr>
            <w:r>
              <w:rPr>
                <w:rFonts w:ascii="Calibri" w:hAnsi="Calibri"/>
                <w:b/>
                <w:i w:val="0"/>
                <w:color w:val="0B3D91"/>
                <w:sz w:val="18"/>
              </w:rPr>
              <w:t>Type I</w:t>
            </w:r>
          </w:p>
        </w:tc>
      </w:tr>
      <w:tr>
        <w:tc>
          <w:tcPr>
            <w:tcW w:type="dxa" w:w="4680"/>
            <w:shd w:val="clear" w:color="auto" w:fill="FFFFFF"/>
          </w:tcPr>
          <w:p>
            <w:pPr>
              <w:jc w:val="left"/>
            </w:pPr>
            <w:r>
              <w:rPr>
                <w:rFonts w:ascii="Calibri" w:hAnsi="Calibri"/>
                <w:b w:val="0"/>
                <w:i w:val="0"/>
                <w:sz w:val="18"/>
              </w:rPr>
              <w:t>Length</w:t>
            </w:r>
          </w:p>
        </w:tc>
        <w:tc>
          <w:tcPr>
            <w:tcW w:type="dxa" w:w="4680"/>
            <w:shd w:val="clear" w:color="auto" w:fill="FFFFFF"/>
          </w:tcPr>
          <w:p>
            <w:pPr>
              <w:jc w:val="left"/>
            </w:pPr>
            <w:r>
              <w:rPr>
                <w:rFonts w:ascii="Calibri" w:hAnsi="Calibri"/>
                <w:b/>
                <w:i w:val="0"/>
                <w:color w:val="0B3D91"/>
                <w:sz w:val="18"/>
              </w:rPr>
              <w:t>4.500 m</w:t>
            </w:r>
          </w:p>
        </w:tc>
      </w:tr>
      <w:tr>
        <w:tc>
          <w:tcPr>
            <w:tcW w:type="dxa" w:w="4680"/>
            <w:shd w:val="clear" w:color="auto" w:fill="EFF9FC"/>
          </w:tcPr>
          <w:p>
            <w:pPr>
              <w:jc w:val="left"/>
            </w:pPr>
            <w:r>
              <w:rPr>
                <w:rFonts w:ascii="Calibri" w:hAnsi="Calibri"/>
                <w:b w:val="0"/>
                <w:i w:val="0"/>
                <w:sz w:val="18"/>
              </w:rPr>
              <w:t>Duty</w:t>
            </w:r>
          </w:p>
        </w:tc>
        <w:tc>
          <w:tcPr>
            <w:tcW w:type="dxa" w:w="4680"/>
            <w:shd w:val="clear" w:color="auto" w:fill="EFF9FC"/>
          </w:tcPr>
          <w:p>
            <w:pPr>
              <w:jc w:val="left"/>
            </w:pPr>
            <w:r>
              <w:rPr>
                <w:rFonts w:ascii="Calibri" w:hAnsi="Calibri"/>
                <w:b/>
                <w:i w:val="0"/>
                <w:color w:val="0B3D91"/>
                <w:sz w:val="18"/>
              </w:rPr>
              <w:t>medium</w:t>
            </w:r>
          </w:p>
        </w:tc>
      </w:tr>
      <w:tr>
        <w:tc>
          <w:tcPr>
            <w:tcW w:type="dxa" w:w="4680"/>
            <w:shd w:val="clear" w:color="auto" w:fill="FFFFFF"/>
          </w:tcPr>
          <w:p>
            <w:pPr>
              <w:jc w:val="left"/>
            </w:pPr>
            <w:r>
              <w:rPr>
                <w:rFonts w:ascii="Calibri" w:hAnsi="Calibri"/>
                <w:b w:val="0"/>
                <w:i w:val="0"/>
                <w:sz w:val="18"/>
              </w:rPr>
              <w:t>Rate</w:t>
            </w:r>
          </w:p>
        </w:tc>
        <w:tc>
          <w:tcPr>
            <w:tcW w:type="dxa" w:w="4680"/>
            <w:shd w:val="clear" w:color="auto" w:fill="FFFFFF"/>
          </w:tcPr>
          <w:p>
            <w:pPr>
              <w:jc w:val="left"/>
            </w:pPr>
            <w:r>
              <w:rPr>
                <w:rFonts w:ascii="Calibri" w:hAnsi="Calibri"/>
                <w:b/>
                <w:i w:val="0"/>
                <w:color w:val="0B3D91"/>
                <w:sz w:val="18"/>
              </w:rPr>
              <w:t>300 cfm/ft</w:t>
            </w:r>
          </w:p>
        </w:tc>
      </w:tr>
      <w:tr>
        <w:tc>
          <w:tcPr>
            <w:tcW w:type="dxa" w:w="4680"/>
            <w:shd w:val="clear" w:color="auto" w:fill="EFF9FC"/>
          </w:tcPr>
          <w:p>
            <w:pPr>
              <w:jc w:val="left"/>
            </w:pPr>
            <w:r>
              <w:rPr>
                <w:rFonts w:ascii="Calibri" w:hAnsi="Calibri"/>
                <w:b w:val="0"/>
                <w:i w:val="0"/>
                <w:sz w:val="18"/>
              </w:rPr>
              <w:t>Rate basis</w:t>
            </w:r>
          </w:p>
        </w:tc>
        <w:tc>
          <w:tcPr>
            <w:tcW w:type="dxa" w:w="4680"/>
            <w:shd w:val="clear" w:color="auto" w:fill="EFF9FC"/>
          </w:tcPr>
          <w:p>
            <w:pPr>
              <w:jc w:val="left"/>
            </w:pPr>
            <w:r>
              <w:rPr>
                <w:rFonts w:ascii="Calibri" w:hAnsi="Calibri"/>
                <w:b/>
                <w:i w:val="0"/>
                <w:color w:val="0B3D91"/>
                <w:sz w:val="18"/>
              </w:rPr>
              <w:t>typical listed-hood range (Applications 2019 Ch 34 Table 5)</w:t>
            </w:r>
          </w:p>
        </w:tc>
      </w:tr>
      <w:tr>
        <w:tc>
          <w:tcPr>
            <w:tcW w:type="dxa" w:w="4680"/>
            <w:shd w:val="clear" w:color="auto" w:fill="FFFFFF"/>
          </w:tcPr>
          <w:p>
            <w:pPr>
              <w:jc w:val="left"/>
            </w:pPr>
            <w:r>
              <w:rPr>
                <w:rFonts w:ascii="Calibri" w:hAnsi="Calibri"/>
                <w:b w:val="0"/>
                <w:i w:val="0"/>
                <w:sz w:val="18"/>
              </w:rPr>
              <w:t>Required extract flow</w:t>
            </w:r>
          </w:p>
        </w:tc>
        <w:tc>
          <w:tcPr>
            <w:tcW w:type="dxa" w:w="4680"/>
            <w:shd w:val="clear" w:color="auto" w:fill="FFFFFF"/>
          </w:tcPr>
          <w:p>
            <w:pPr>
              <w:jc w:val="left"/>
            </w:pPr>
            <w:r>
              <w:rPr>
                <w:rFonts w:ascii="Calibri" w:hAnsi="Calibri"/>
                <w:b/>
                <w:i w:val="0"/>
                <w:color w:val="0B3D91"/>
                <w:sz w:val="18"/>
              </w:rPr>
              <w:t>2,090 L/s</w:t>
            </w:r>
          </w:p>
        </w:tc>
      </w:tr>
      <w:tr>
        <w:tc>
          <w:tcPr>
            <w:tcW w:type="dxa" w:w="4680"/>
            <w:shd w:val="clear" w:color="auto" w:fill="EFF9FC"/>
          </w:tcPr>
          <w:p>
            <w:pPr>
              <w:jc w:val="left"/>
            </w:pPr>
            <w:r>
              <w:rPr>
                <w:rFonts w:ascii="Calibri" w:hAnsi="Calibri"/>
                <w:b w:val="0"/>
                <w:i w:val="0"/>
                <w:sz w:val="18"/>
              </w:rPr>
              <w:t>Minimum overhangs</w:t>
            </w:r>
          </w:p>
        </w:tc>
        <w:tc>
          <w:tcPr>
            <w:tcW w:type="dxa" w:w="4680"/>
            <w:shd w:val="clear" w:color="auto" w:fill="EFF9FC"/>
          </w:tcPr>
          <w:p>
            <w:pPr>
              <w:jc w:val="left"/>
            </w:pPr>
            <w:r>
              <w:rPr>
                <w:rFonts w:ascii="Calibri" w:hAnsi="Calibri"/>
                <w:b/>
                <w:i w:val="0"/>
                <w:color w:val="0B3D91"/>
                <w:sz w:val="18"/>
              </w:rPr>
              <w:t>end 152 mm, front 305 mm</w:t>
            </w:r>
          </w:p>
        </w:tc>
      </w:tr>
    </w:tbl>
    <w:p/>
    <w:p>
      <w:pPr>
        <w:pStyle w:val="Heading1"/>
        <w:pBdr>
          <w:bottom w:val="single" w:sz="6" w:space="4" w:color="0A2540"/>
        </w:pBdr>
      </w:pPr>
      <w:r>
        <w:rPr>
          <w:rFonts w:ascii="Calibri" w:hAnsi="Calibri"/>
          <w:b/>
          <w:color w:val="0A2540"/>
          <w:sz w:val="26"/>
        </w:rPr>
        <w:t>3.  Assumptions</w:t>
      </w:r>
    </w:p>
    <w:p>
      <w:pPr>
        <w:pStyle w:val="ListBullet"/>
      </w:pPr>
      <w:r>
        <w:rPr>
          <w:rFonts w:ascii="Calibri" w:hAnsi="Calibri"/>
          <w:color w:val="374151"/>
          <w:sz w:val="18"/>
        </w:rPr>
        <w:t>The duty class entered is that of the heaviest-duty appliance installed beneath the hood.</w:t>
      </w:r>
    </w:p>
    <w:p>
      <w:pPr>
        <w:pStyle w:val="ListBullet"/>
      </w:pPr>
      <w:r>
        <w:rPr>
          <w:rFonts w:ascii="Calibri" w:hAnsi="Calibri"/>
          <w:color w:val="374151"/>
          <w:sz w:val="18"/>
        </w:rPr>
        <w:t>Hood length is the overall length of the hood, not the appliance line-up.</w:t>
      </w:r>
    </w:p>
    <w:p>
      <w:pPr>
        <w:pStyle w:val="ListBullet"/>
      </w:pPr>
      <w:r>
        <w:rPr>
          <w:rFonts w:ascii="Calibri" w:hAnsi="Calibri"/>
          <w:color w:val="374151"/>
          <w:sz w:val="18"/>
        </w:rPr>
        <w:t>Where a manufacturer's UL 710 listed rate is entered, that rate governs over any tabulated typical value.</w:t>
      </w:r>
    </w:p>
    <w:p>
      <w:pPr>
        <w:pStyle w:val="ListBullet"/>
      </w:pPr>
      <w:r>
        <w:rPr>
          <w:rFonts w:ascii="Calibri" w:hAnsi="Calibri"/>
          <w:color w:val="374151"/>
          <w:sz w:val="18"/>
        </w:rPr>
        <w:t>Make-up air percentage is an engineering input: ASHRAE 154-2016 Section 6 sets replacement-air principles but publishes no percentage.</w:t>
      </w:r>
    </w:p>
    <w:p>
      <w:pPr>
        <w:pStyle w:val="Heading1"/>
        <w:pBdr>
          <w:bottom w:val="single" w:sz="6" w:space="4" w:color="0A2540"/>
        </w:pBdr>
      </w:pPr>
      <w:r>
        <w:rPr>
          <w:rFonts w:ascii="Calibri" w:hAnsi="Calibri"/>
          <w:b/>
          <w:color w:val="0A2540"/>
          <w:sz w:val="26"/>
        </w:rPr>
        <w:t>4.  Step-by-Step Calculation</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  Hood duty classification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duty = heaviest duty of appliances under hood (Ch 34 p. 34.13; duty groups per 154-2016 Table 1)</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appliances = (duty set directly)</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medium</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  Typical listed Type I hood exhaust rate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rate from Ch 34 Table 5 range (design point: high)</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hood_style = Wall-mounted canopy; duty = medium; range [cfm/ft] = 200-300; rate [cfm/ft] = 300</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300 cfm/ft</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  Exhaust flow</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 = rate x hood length</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rate [cfm/ft] = 300; rate [m3/s per m] = 0.46452; L [m] = 4.5</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2.0903 m3/s</w:t>
            </w:r>
          </w:p>
        </w:tc>
      </w:tr>
    </w:tbl>
    <w:p/>
    <w:p>
      <w:pPr>
        <w:pStyle w:val="Heading1"/>
        <w:pBdr>
          <w:bottom w:val="single" w:sz="6" w:space="4" w:color="0A2540"/>
        </w:pBdr>
      </w:pPr>
      <w:r>
        <w:rPr>
          <w:rFonts w:ascii="Calibri" w:hAnsi="Calibri"/>
          <w:b/>
          <w:color w:val="0A2540"/>
          <w:sz w:val="26"/>
        </w:rPr>
        <w:t>5.  Results</w:t>
      </w:r>
    </w:p>
    <w:p>
      <w:r>
        <w:rPr>
          <w:rFonts w:ascii="Calibri" w:hAnsi="Calibri"/>
          <w:b/>
          <w:color w:val="0A2540"/>
          <w:sz w:val="22"/>
        </w:rPr>
        <w:t>Hood mounting (ASHRAE 154-2016 # 4.3.3)</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Front lower edge above cooking surface</w:t>
            </w:r>
          </w:p>
        </w:tc>
        <w:tc>
          <w:tcPr>
            <w:tcW w:type="dxa" w:w="4680"/>
            <w:shd w:val="clear" w:color="auto" w:fill="EFF9FC"/>
          </w:tcPr>
          <w:p>
            <w:pPr>
              <w:jc w:val="left"/>
            </w:pPr>
            <w:r>
              <w:rPr>
                <w:rFonts w:ascii="Calibri" w:hAnsi="Calibri"/>
                <w:b/>
                <w:i w:val="0"/>
                <w:color w:val="0B3D91"/>
                <w:sz w:val="18"/>
              </w:rPr>
              <w:t>max 1219 mm</w:t>
            </w:r>
          </w:p>
        </w:tc>
      </w:tr>
      <w:tr>
        <w:tc>
          <w:tcPr>
            <w:tcW w:type="dxa" w:w="4680"/>
            <w:shd w:val="clear" w:color="auto" w:fill="FFFFFF"/>
          </w:tcPr>
          <w:p>
            <w:pPr>
              <w:jc w:val="left"/>
            </w:pPr>
            <w:r>
              <w:rPr>
                <w:rFonts w:ascii="Calibri" w:hAnsi="Calibri"/>
                <w:b w:val="0"/>
                <w:i w:val="0"/>
                <w:sz w:val="18"/>
              </w:rPr>
              <w:t>Front lower edge above finished floor</w:t>
            </w:r>
          </w:p>
        </w:tc>
        <w:tc>
          <w:tcPr>
            <w:tcW w:type="dxa" w:w="4680"/>
            <w:shd w:val="clear" w:color="auto" w:fill="FFFFFF"/>
          </w:tcPr>
          <w:p>
            <w:pPr>
              <w:jc w:val="left"/>
            </w:pPr>
            <w:r>
              <w:rPr>
                <w:rFonts w:ascii="Calibri" w:hAnsi="Calibri"/>
                <w:b/>
                <w:i w:val="0"/>
                <w:color w:val="0B3D91"/>
                <w:sz w:val="18"/>
              </w:rPr>
              <w:t>min 1981 mm</w:t>
            </w:r>
          </w:p>
        </w:tc>
      </w:tr>
      <w:tr>
        <w:tc>
          <w:tcPr>
            <w:tcW w:type="dxa" w:w="4680"/>
            <w:shd w:val="clear" w:color="auto" w:fill="EFF9FC"/>
          </w:tcPr>
          <w:p>
            <w:pPr>
              <w:jc w:val="left"/>
            </w:pPr>
            <w:r>
              <w:rPr>
                <w:rFonts w:ascii="Calibri" w:hAnsi="Calibri"/>
                <w:b w:val="0"/>
                <w:i w:val="0"/>
                <w:sz w:val="18"/>
              </w:rPr>
              <w:t>Inside hood height</w:t>
            </w:r>
          </w:p>
        </w:tc>
        <w:tc>
          <w:tcPr>
            <w:tcW w:type="dxa" w:w="4680"/>
            <w:shd w:val="clear" w:color="auto" w:fill="EFF9FC"/>
          </w:tcPr>
          <w:p>
            <w:pPr>
              <w:jc w:val="left"/>
            </w:pPr>
            <w:r>
              <w:rPr>
                <w:rFonts w:ascii="Calibri" w:hAnsi="Calibri"/>
                <w:b/>
                <w:i w:val="0"/>
                <w:color w:val="0B3D91"/>
                <w:sz w:val="18"/>
              </w:rPr>
              <w:t>min 610 mm</w:t>
            </w:r>
          </w:p>
        </w:tc>
      </w:tr>
      <w:tr>
        <w:tc>
          <w:tcPr>
            <w:tcW w:type="dxa" w:w="4680"/>
            <w:shd w:val="clear" w:color="auto" w:fill="FFFFFF"/>
          </w:tcPr>
          <w:p>
            <w:pPr>
              <w:jc w:val="left"/>
            </w:pPr>
            <w:r>
              <w:rPr>
                <w:rFonts w:ascii="Calibri" w:hAnsi="Calibri"/>
                <w:b w:val="0"/>
                <w:i w:val="0"/>
                <w:sz w:val="18"/>
              </w:rPr>
              <w:t>Clearance to combustibles (# 4.8.1, Type I)</w:t>
            </w:r>
          </w:p>
        </w:tc>
        <w:tc>
          <w:tcPr>
            <w:tcW w:type="dxa" w:w="4680"/>
            <w:shd w:val="clear" w:color="auto" w:fill="FFFFFF"/>
          </w:tcPr>
          <w:p>
            <w:pPr>
              <w:jc w:val="left"/>
            </w:pPr>
            <w:r>
              <w:rPr>
                <w:rFonts w:ascii="Calibri" w:hAnsi="Calibri"/>
                <w:b/>
                <w:i w:val="0"/>
                <w:color w:val="0B3D91"/>
                <w:sz w:val="18"/>
              </w:rPr>
              <w:t>min 457 mm unless listed to a reduced clearance</w:t>
            </w:r>
          </w:p>
        </w:tc>
      </w:tr>
      <w:tr>
        <w:tc>
          <w:tcPr>
            <w:tcW w:type="dxa" w:w="4680"/>
            <w:shd w:val="clear" w:color="auto" w:fill="EFF9FC"/>
          </w:tcPr>
          <w:p>
            <w:pPr>
              <w:jc w:val="left"/>
            </w:pPr>
            <w:r>
              <w:rPr>
                <w:rFonts w:ascii="Calibri" w:hAnsi="Calibri"/>
                <w:b w:val="0"/>
                <w:i w:val="0"/>
                <w:sz w:val="18"/>
              </w:rPr>
              <w:t>Basis</w:t>
            </w:r>
          </w:p>
        </w:tc>
        <w:tc>
          <w:tcPr>
            <w:tcW w:type="dxa" w:w="4680"/>
            <w:shd w:val="clear" w:color="auto" w:fill="EFF9FC"/>
          </w:tcPr>
          <w:p>
            <w:pPr>
              <w:jc w:val="left"/>
            </w:pPr>
            <w:r>
              <w:rPr>
                <w:rFonts w:ascii="Calibri" w:hAnsi="Calibri"/>
                <w:b/>
                <w:i w:val="0"/>
                <w:color w:val="0B3D91"/>
                <w:sz w:val="18"/>
              </w:rPr>
              <w:t>154-2016 # 4.3.3.1 — reported, not checked</w:t>
            </w:r>
          </w:p>
        </w:tc>
      </w:tr>
      <w:tr>
        <w:tc>
          <w:tcPr>
            <w:tcW w:type="dxa" w:w="4680"/>
            <w:shd w:val="clear" w:color="auto" w:fill="FFFFFF"/>
          </w:tcPr>
          <w:p>
            <w:pPr>
              <w:jc w:val="left"/>
            </w:pPr>
            <w:r>
              <w:rPr>
                <w:rFonts w:ascii="Calibri" w:hAnsi="Calibri"/>
                <w:b w:val="0"/>
                <w:i w:val="0"/>
                <w:sz w:val="18"/>
              </w:rPr>
              <w:t>Scope</w:t>
            </w:r>
          </w:p>
        </w:tc>
        <w:tc>
          <w:tcPr>
            <w:tcW w:type="dxa" w:w="4680"/>
            <w:shd w:val="clear" w:color="auto" w:fill="FFFFFF"/>
          </w:tcPr>
          <w:p>
            <w:pPr>
              <w:jc w:val="left"/>
            </w:pPr>
            <w:r>
              <w:rPr>
                <w:rFonts w:ascii="Calibri" w:hAnsi="Calibri"/>
                <w:b/>
                <w:i w:val="0"/>
                <w:color w:val="0B3D91"/>
                <w:sz w:val="18"/>
              </w:rPr>
              <w:t># 4.3 is headed Type II Hood Sizing; applied to Type I by engineering judgement</w:t>
            </w:r>
          </w:p>
        </w:tc>
      </w:tr>
    </w:tbl>
    <w:p/>
    <w:p>
      <w:r>
        <w:rPr>
          <w:rFonts w:ascii="Calibri" w:hAnsi="Calibri"/>
          <w:b/>
          <w:color w:val="0A2540"/>
          <w:sz w:val="22"/>
        </w:rPr>
        <w:t>Make-up air</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Dedicated make-up</w:t>
            </w:r>
          </w:p>
        </w:tc>
        <w:tc>
          <w:tcPr>
            <w:tcW w:type="dxa" w:w="4680"/>
            <w:shd w:val="clear" w:color="auto" w:fill="EFF9FC"/>
          </w:tcPr>
          <w:p>
            <w:pPr>
              <w:jc w:val="left"/>
            </w:pPr>
            <w:r>
              <w:rPr>
                <w:rFonts w:ascii="Calibri" w:hAnsi="Calibri"/>
                <w:b/>
                <w:i w:val="0"/>
                <w:color w:val="0B3D91"/>
                <w:sz w:val="18"/>
              </w:rPr>
              <w:t>1,777 L/s</w:t>
            </w:r>
          </w:p>
        </w:tc>
      </w:tr>
      <w:tr>
        <w:tc>
          <w:tcPr>
            <w:tcW w:type="dxa" w:w="4680"/>
            <w:shd w:val="clear" w:color="auto" w:fill="FFFFFF"/>
          </w:tcPr>
          <w:p>
            <w:pPr>
              <w:jc w:val="left"/>
            </w:pPr>
            <w:r>
              <w:rPr>
                <w:rFonts w:ascii="Calibri" w:hAnsi="Calibri"/>
                <w:b w:val="0"/>
                <w:i w:val="0"/>
                <w:sz w:val="18"/>
              </w:rPr>
              <w:t>Transfer / infiltration (balance)</w:t>
            </w:r>
          </w:p>
        </w:tc>
        <w:tc>
          <w:tcPr>
            <w:tcW w:type="dxa" w:w="4680"/>
            <w:shd w:val="clear" w:color="auto" w:fill="FFFFFF"/>
          </w:tcPr>
          <w:p>
            <w:pPr>
              <w:jc w:val="left"/>
            </w:pPr>
            <w:r>
              <w:rPr>
                <w:rFonts w:ascii="Calibri" w:hAnsi="Calibri"/>
                <w:b/>
                <w:i w:val="0"/>
                <w:color w:val="0B3D91"/>
                <w:sz w:val="18"/>
              </w:rPr>
              <w:t>313 L/s</w:t>
            </w:r>
          </w:p>
        </w:tc>
      </w:tr>
      <w:tr>
        <w:tc>
          <w:tcPr>
            <w:tcW w:type="dxa" w:w="4680"/>
            <w:shd w:val="clear" w:color="auto" w:fill="EFF9FC"/>
          </w:tcPr>
          <w:p>
            <w:pPr>
              <w:jc w:val="left"/>
            </w:pPr>
            <w:r>
              <w:rPr>
                <w:rFonts w:ascii="Calibri" w:hAnsi="Calibri"/>
                <w:b w:val="0"/>
                <w:i w:val="0"/>
                <w:sz w:val="18"/>
              </w:rPr>
              <w:t>Net exhaust</w:t>
            </w:r>
          </w:p>
        </w:tc>
        <w:tc>
          <w:tcPr>
            <w:tcW w:type="dxa" w:w="4680"/>
            <w:shd w:val="clear" w:color="auto" w:fill="EFF9FC"/>
          </w:tcPr>
          <w:p>
            <w:pPr>
              <w:jc w:val="left"/>
            </w:pPr>
            <w:r>
              <w:rPr>
                <w:rFonts w:ascii="Calibri" w:hAnsi="Calibri"/>
                <w:b/>
                <w:i w:val="0"/>
                <w:color w:val="0B3D91"/>
                <w:sz w:val="18"/>
              </w:rPr>
              <w:t>2,090 L/s</w:t>
            </w:r>
          </w:p>
        </w:tc>
      </w:tr>
      <w:tr>
        <w:tc>
          <w:tcPr>
            <w:tcW w:type="dxa" w:w="4680"/>
            <w:shd w:val="clear" w:color="auto" w:fill="FFFFFF"/>
          </w:tcPr>
          <w:p>
            <w:pPr>
              <w:jc w:val="left"/>
            </w:pPr>
            <w:r>
              <w:rPr>
                <w:rFonts w:ascii="Calibri" w:hAnsi="Calibri"/>
                <w:b w:val="0"/>
                <w:i w:val="0"/>
                <w:sz w:val="18"/>
              </w:rPr>
              <w:t>Internal-discharge limit (# 4.5.1)</w:t>
            </w:r>
          </w:p>
        </w:tc>
        <w:tc>
          <w:tcPr>
            <w:tcW w:type="dxa" w:w="4680"/>
            <w:shd w:val="clear" w:color="auto" w:fill="FFFFFF"/>
          </w:tcPr>
          <w:p>
            <w:pPr>
              <w:jc w:val="left"/>
            </w:pPr>
            <w:r>
              <w:rPr>
                <w:rFonts w:ascii="Calibri" w:hAnsi="Calibri"/>
                <w:b/>
                <w:i w:val="0"/>
                <w:color w:val="0B3D91"/>
                <w:sz w:val="18"/>
              </w:rPr>
              <w:t>209 L/s  — within</w:t>
            </w:r>
          </w:p>
        </w:tc>
      </w:tr>
      <w:tr>
        <w:tc>
          <w:tcPr>
            <w:tcW w:type="dxa" w:w="4680"/>
            <w:shd w:val="clear" w:color="auto" w:fill="EFF9FC"/>
          </w:tcPr>
          <w:p>
            <w:pPr>
              <w:jc w:val="left"/>
            </w:pPr>
            <w:r>
              <w:rPr>
                <w:rFonts w:ascii="Calibri" w:hAnsi="Calibri"/>
                <w:b w:val="0"/>
                <w:i w:val="0"/>
                <w:sz w:val="18"/>
              </w:rPr>
              <w:t>Terminal velocity at hood lip (# 6.1.1)</w:t>
            </w:r>
          </w:p>
        </w:tc>
        <w:tc>
          <w:tcPr>
            <w:tcW w:type="dxa" w:w="4680"/>
            <w:shd w:val="clear" w:color="auto" w:fill="EFF9FC"/>
          </w:tcPr>
          <w:p>
            <w:pPr>
              <w:jc w:val="left"/>
            </w:pPr>
            <w:r>
              <w:rPr>
                <w:rFonts w:ascii="Calibri" w:hAnsi="Calibri"/>
                <w:b/>
                <w:i w:val="0"/>
                <w:color w:val="0B3D91"/>
                <w:sz w:val="18"/>
              </w:rPr>
              <w:t>max 0.25 m/s (50 fpm as printed)</w:t>
            </w:r>
          </w:p>
        </w:tc>
      </w:tr>
    </w:tbl>
    <w:p/>
    <w:p>
      <w:r>
        <w:rPr>
          <w:rFonts w:ascii="Calibri" w:hAnsi="Calibri"/>
          <w:b/>
          <w:color w:val="0A2540"/>
          <w:sz w:val="22"/>
        </w:rPr>
        <w:t>Extract duct</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Required area</w:t>
            </w:r>
          </w:p>
        </w:tc>
        <w:tc>
          <w:tcPr>
            <w:tcW w:type="dxa" w:w="4680"/>
            <w:shd w:val="clear" w:color="auto" w:fill="EFF9FC"/>
          </w:tcPr>
          <w:p>
            <w:pPr>
              <w:jc w:val="left"/>
            </w:pPr>
            <w:r>
              <w:rPr>
                <w:rFonts w:ascii="Calibri" w:hAnsi="Calibri"/>
                <w:b/>
                <w:i w:val="0"/>
                <w:color w:val="0B3D91"/>
                <w:sz w:val="18"/>
              </w:rPr>
              <w:t>0.249 m²</w:t>
            </w:r>
          </w:p>
        </w:tc>
      </w:tr>
      <w:tr>
        <w:tc>
          <w:tcPr>
            <w:tcW w:type="dxa" w:w="4680"/>
            <w:shd w:val="clear" w:color="auto" w:fill="FFFFFF"/>
          </w:tcPr>
          <w:p>
            <w:pPr>
              <w:jc w:val="left"/>
            </w:pPr>
            <w:r>
              <w:rPr>
                <w:rFonts w:ascii="Calibri" w:hAnsi="Calibri"/>
                <w:b w:val="0"/>
                <w:i w:val="0"/>
                <w:sz w:val="18"/>
              </w:rPr>
              <w:t>Design velocity</w:t>
            </w:r>
          </w:p>
        </w:tc>
        <w:tc>
          <w:tcPr>
            <w:tcW w:type="dxa" w:w="4680"/>
            <w:shd w:val="clear" w:color="auto" w:fill="FFFFFF"/>
          </w:tcPr>
          <w:p>
            <w:pPr>
              <w:jc w:val="left"/>
            </w:pPr>
            <w:r>
              <w:rPr>
                <w:rFonts w:ascii="Calibri" w:hAnsi="Calibri"/>
                <w:b/>
                <w:i w:val="0"/>
                <w:color w:val="0B3D91"/>
                <w:sz w:val="18"/>
              </w:rPr>
              <w:t>8.40 m/s</w:t>
            </w:r>
          </w:p>
        </w:tc>
      </w:tr>
      <w:tr>
        <w:tc>
          <w:tcPr>
            <w:tcW w:type="dxa" w:w="4680"/>
            <w:shd w:val="clear" w:color="auto" w:fill="EFF9FC"/>
          </w:tcPr>
          <w:p>
            <w:pPr>
              <w:jc w:val="left"/>
            </w:pPr>
            <w:r>
              <w:rPr>
                <w:rFonts w:ascii="Calibri" w:hAnsi="Calibri"/>
                <w:b w:val="0"/>
                <w:i w:val="0"/>
                <w:sz w:val="18"/>
              </w:rPr>
              <w:t>Candidate size</w:t>
            </w:r>
          </w:p>
        </w:tc>
        <w:tc>
          <w:tcPr>
            <w:tcW w:type="dxa" w:w="4680"/>
            <w:shd w:val="clear" w:color="auto" w:fill="EFF9FC"/>
          </w:tcPr>
          <w:p>
            <w:pPr>
              <w:jc w:val="left"/>
            </w:pPr>
            <w:r>
              <w:rPr>
                <w:rFonts w:ascii="Calibri" w:hAnsi="Calibri"/>
                <w:b/>
                <w:i w:val="0"/>
                <w:color w:val="0B3D91"/>
                <w:sz w:val="18"/>
              </w:rPr>
              <w:t>500 x 500 mm — 8.36 m/s</w:t>
            </w:r>
          </w:p>
        </w:tc>
      </w:tr>
      <w:tr>
        <w:tc>
          <w:tcPr>
            <w:tcW w:type="dxa" w:w="4680"/>
            <w:shd w:val="clear" w:color="auto" w:fill="FFFFFF"/>
          </w:tcPr>
          <w:p>
            <w:pPr>
              <w:jc w:val="left"/>
            </w:pPr>
            <w:r>
              <w:rPr>
                <w:rFonts w:ascii="Calibri" w:hAnsi="Calibri"/>
                <w:b w:val="0"/>
                <w:i w:val="0"/>
                <w:sz w:val="18"/>
              </w:rPr>
              <w:t>Candidate size</w:t>
            </w:r>
          </w:p>
        </w:tc>
        <w:tc>
          <w:tcPr>
            <w:tcW w:type="dxa" w:w="4680"/>
            <w:shd w:val="clear" w:color="auto" w:fill="FFFFFF"/>
          </w:tcPr>
          <w:p>
            <w:pPr>
              <w:jc w:val="left"/>
            </w:pPr>
            <w:r>
              <w:rPr>
                <w:rFonts w:ascii="Calibri" w:hAnsi="Calibri"/>
                <w:b/>
                <w:i w:val="0"/>
                <w:color w:val="0B3D91"/>
                <w:sz w:val="18"/>
              </w:rPr>
              <w:t>550 x 500 mm — 7.60 m/s</w:t>
            </w:r>
          </w:p>
        </w:tc>
      </w:tr>
      <w:tr>
        <w:tc>
          <w:tcPr>
            <w:tcW w:type="dxa" w:w="4680"/>
            <w:shd w:val="clear" w:color="auto" w:fill="EFF9FC"/>
          </w:tcPr>
          <w:p>
            <w:pPr>
              <w:jc w:val="left"/>
            </w:pPr>
            <w:r>
              <w:rPr>
                <w:rFonts w:ascii="Calibri" w:hAnsi="Calibri"/>
                <w:b w:val="0"/>
                <w:i w:val="0"/>
                <w:sz w:val="18"/>
              </w:rPr>
              <w:t>Candidate size</w:t>
            </w:r>
          </w:p>
        </w:tc>
        <w:tc>
          <w:tcPr>
            <w:tcW w:type="dxa" w:w="4680"/>
            <w:shd w:val="clear" w:color="auto" w:fill="EFF9FC"/>
          </w:tcPr>
          <w:p>
            <w:pPr>
              <w:jc w:val="left"/>
            </w:pPr>
            <w:r>
              <w:rPr>
                <w:rFonts w:ascii="Calibri" w:hAnsi="Calibri"/>
                <w:b/>
                <w:i w:val="0"/>
                <w:color w:val="0B3D91"/>
                <w:sz w:val="18"/>
              </w:rPr>
              <w:t>600 x 450 mm — 7.74 m/s</w:t>
            </w:r>
          </w:p>
        </w:tc>
      </w:tr>
    </w:tbl>
    <w:p/>
    <w:p>
      <w:r>
        <w:rPr>
          <w:rFonts w:ascii="Calibri" w:hAnsi="Calibri"/>
          <w:b/>
          <w:color w:val="0A2540"/>
          <w:sz w:val="22"/>
        </w:rPr>
        <w:t>Energy — ASHRAE 90.1 (advisory)</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Position</w:t>
            </w:r>
          </w:p>
        </w:tc>
        <w:tc>
          <w:tcPr>
            <w:tcW w:type="dxa" w:w="4680"/>
            <w:shd w:val="clear" w:color="auto" w:fill="EFF9FC"/>
          </w:tcPr>
          <w:p>
            <w:pPr>
              <w:jc w:val="left"/>
            </w:pPr>
            <w:r>
              <w:rPr>
                <w:rFonts w:ascii="Calibri" w:hAnsi="Calibri"/>
                <w:b/>
                <w:i w:val="0"/>
                <w:color w:val="0B3D91"/>
                <w:sz w:val="18"/>
              </w:rPr>
              <w:t>not applicable — facility total 2,091 L/s is below 2360 L/s, so Table 6.5.7.2.2 is not assessed (90.1-2022 SI # 6.5.7.2.2)</w:t>
            </w:r>
          </w:p>
        </w:tc>
      </w:tr>
    </w:tbl>
    <w:p/>
    <w:p>
      <w:pPr>
        <w:pStyle w:val="Heading1"/>
        <w:pBdr>
          <w:bottom w:val="single" w:sz="6" w:space="4" w:color="0A2540"/>
        </w:pBdr>
      </w:pPr>
      <w:r>
        <w:rPr>
          <w:rFonts w:ascii="Calibri" w:hAnsi="Calibri"/>
          <w:b/>
          <w:color w:val="0A2540"/>
          <w:sz w:val="26"/>
        </w:rPr>
        <w:t>6.  Notes</w:t>
      </w:r>
    </w:p>
    <w:tbl>
      <w:tblPr>
        <w:tblStyle w:val="TableGrid"/>
        <w:tblW w:type="auto" w:w="0"/>
        <w:tblLook w:firstColumn="1" w:firstRow="1" w:lastColumn="0" w:lastRow="0" w:noHBand="0" w:noVBand="1" w:val="04A0"/>
      </w:tblPr>
      <w:tblGrid>
        <w:gridCol w:w="9360"/>
      </w:tblGrid>
      <w:tr>
        <w:tc>
          <w:tcPr>
            <w:tcW w:type="dxa" w:w="9360"/>
            <w:shd w:val="clear" w:color="auto" w:fill="FFF4E5"/>
          </w:tcPr>
          <w:p>
            <w:pPr>
              <w:jc w:val="left"/>
            </w:pPr>
            <w:r>
              <w:rPr>
                <w:rFonts w:ascii="Calibri" w:hAnsi="Calibri"/>
                <w:b/>
                <w:i w:val="0"/>
                <w:color w:val="B45309"/>
                <w:sz w:val="20"/>
              </w:rPr>
              <w:t xml:space="preserve">  ⚠  Advisory</w:t>
            </w:r>
          </w:p>
        </w:tc>
      </w:tr>
      <w:tr>
        <w:tc>
          <w:tcPr>
            <w:tcW w:type="dxa" w:w="9360"/>
            <w:shd w:val="clear" w:color="auto" w:fill="FFF4E5"/>
          </w:tcPr>
          <w:p>
            <w:pPr>
              <w:jc w:val="left"/>
            </w:pPr>
            <w:r>
              <w:rPr>
                <w:rFonts w:ascii="Calibri" w:hAnsi="Calibri"/>
                <w:b w:val="0"/>
                <w:i w:val="0"/>
                <w:color w:val="B45309"/>
                <w:sz w:val="18"/>
              </w:rPr>
              <w:t xml:space="preserve">   • ASHRAE 154-2016 # 4.1.1: Type I hoods must be listed (UL 710/710B/710C) and installed per their listing; typical rates are design guidance, the listing governs.</w:t>
            </w:r>
          </w:p>
        </w:tc>
      </w:tr>
      <w:tr>
        <w:tc>
          <w:tcPr>
            <w:tcW w:type="dxa" w:w="9360"/>
            <w:shd w:val="clear" w:color="auto" w:fill="FFF4E5"/>
          </w:tcPr>
          <w:p>
            <w:pPr>
              <w:jc w:val="left"/>
            </w:pPr>
            <w:r>
              <w:rPr>
                <w:rFonts w:ascii="Calibri" w:hAnsi="Calibri"/>
                <w:b w:val="0"/>
                <w:i w:val="0"/>
                <w:color w:val="B45309"/>
                <w:sz w:val="18"/>
              </w:rPr>
              <w:t xml:space="preserve">   • Grease removal devices are not sized by this tool: ASHRAE 154-2016 # 4.6.1 requires them in accordance with the hood's listing, and the standard publishes no filter face velocity — take the filter count and velocity from the listing / manufacturer's data for the extract flow above.</w:t>
            </w:r>
          </w:p>
        </w:tc>
      </w:tr>
      <w:tr>
        <w:tc>
          <w:tcPr>
            <w:tcW w:type="dxa" w:w="9360"/>
            <w:shd w:val="clear" w:color="auto" w:fill="FFF4E5"/>
          </w:tcPr>
          <w:p>
            <w:pPr>
              <w:jc w:val="left"/>
            </w:pPr>
            <w:r>
              <w:rPr>
                <w:rFonts w:ascii="Calibri" w:hAnsi="Calibri"/>
                <w:b w:val="0"/>
                <w:i w:val="0"/>
                <w:color w:val="B45309"/>
                <w:sz w:val="18"/>
              </w:rPr>
              <w:t xml:space="preserve">   • ASHRAE 154-2016 # 6.1.1: terminal velocity of air introduced near the hood shall not exceed 50 fpm (0.25 m/s) at the hood's lowest edges. # 6.2.1 permits transfer air from areas other than the kitchen as replacement air, and Addendum m (2021) requires that transfer air to meet the air-classification requirements of ASHRAE 62.1 (the addendum's foreword treats kitchen replacement air as 62.1 Class 2 air); transfer-air openings are sized for 0.381 m/s (75 fpm) on free area (# 6.1.2).</w:t>
            </w:r>
          </w:p>
        </w:tc>
      </w:tr>
      <w:tr>
        <w:tc>
          <w:tcPr>
            <w:tcW w:type="dxa" w:w="9360"/>
            <w:shd w:val="clear" w:color="auto" w:fill="FFF4E5"/>
          </w:tcPr>
          <w:p>
            <w:pPr>
              <w:jc w:val="left"/>
            </w:pPr>
            <w:r>
              <w:rPr>
                <w:rFonts w:ascii="Calibri" w:hAnsi="Calibri"/>
                <w:b w:val="0"/>
                <w:i w:val="0"/>
                <w:color w:val="B45309"/>
                <w:sz w:val="18"/>
              </w:rPr>
              <w:t xml:space="preserve">   • AHJ basis: Make-up air band minimum 75 % of extract (default)</w:t>
            </w:r>
          </w:p>
        </w:tc>
      </w:tr>
      <w:tr>
        <w:tc>
          <w:tcPr>
            <w:tcW w:type="dxa" w:w="9360"/>
            <w:shd w:val="clear" w:color="auto" w:fill="FFF4E5"/>
          </w:tcPr>
          <w:p>
            <w:pPr>
              <w:jc w:val="left"/>
            </w:pPr>
            <w:r>
              <w:rPr>
                <w:rFonts w:ascii="Calibri" w:hAnsi="Calibri"/>
                <w:b w:val="0"/>
                <w:i w:val="0"/>
                <w:color w:val="B45309"/>
                <w:sz w:val="18"/>
              </w:rPr>
              <w:t xml:space="preserve">   • AHJ basis: Make-up air band maximum 95 % of extract (default)</w:t>
            </w:r>
          </w:p>
        </w:tc>
      </w:tr>
      <w:tr>
        <w:tc>
          <w:tcPr>
            <w:tcW w:type="dxa" w:w="9360"/>
            <w:shd w:val="clear" w:color="auto" w:fill="FFF4E5"/>
          </w:tcPr>
          <w:p>
            <w:pPr>
              <w:jc w:val="left"/>
            </w:pPr>
            <w:r>
              <w:rPr>
                <w:rFonts w:ascii="Calibri" w:hAnsi="Calibri"/>
                <w:b w:val="0"/>
                <w:i w:val="0"/>
                <w:color w:val="B45309"/>
                <w:sz w:val="18"/>
              </w:rPr>
              <w:t xml:space="preserve">   • ASHRAE 90.1 figures are reported as an energy advisory only. The extract flow is as required by the governing ventilation standard and is not reduced to meet them.</w:t>
            </w:r>
          </w:p>
        </w:tc>
      </w:tr>
    </w:tbl>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ANSI/ASHRAE Standard 154-2016 — Ventilation for Commercial Cooking Operations — hood type, appliance duty classification, Type II net exhaust rates, overhangs, internal-discharge make-up limit, duct velocity minimum</w:t>
      </w:r>
    </w:p>
    <w:p>
      <w:pPr>
        <w:pStyle w:val="ListBullet"/>
      </w:pPr>
      <w:r>
        <w:rPr>
          <w:rFonts w:ascii="Calibri" w:hAnsi="Calibri"/>
          <w:b/>
          <w:color w:val="0A2540"/>
          <w:sz w:val="18"/>
        </w:rPr>
        <w:t>ASHRAE Handbook - HVAC Applications 2019, Ch 34 — Kitchen Ventilation — typical exhaust flow rates for listed Type I hoods by hood style and appliance duty</w:t>
      </w:r>
    </w:p>
    <w:p>
      <w:pPr>
        <w:pStyle w:val="ListBullet"/>
      </w:pPr>
      <w:r>
        <w:rPr>
          <w:rFonts w:ascii="Calibri" w:hAnsi="Calibri"/>
          <w:b/>
          <w:color w:val="0A2540"/>
          <w:sz w:val="18"/>
        </w:rPr>
        <w:t>ANSI/ASHRAE/IES Standard 90.1-2022 (SI edition) — Energy Standard — maximum net exhaust flow rate per linear metre of hood (advisory in this tool)</w:t>
      </w:r>
    </w:p>
    <w:p>
      <w:r>
        <w:rPr>
          <w:rFonts w:ascii="Calibri" w:hAnsi="Calibri"/>
          <w:i/>
          <w:color w:val="6B7280"/>
          <w:sz w:val="16"/>
        </w:rPr>
        <w:t>Hood Extract Calculations — Hussein Ragab</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