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40"/>
              </w:rPr>
              <w:t>LPG Gas Consumption &amp; Tank Sizing</w:t>
            </w:r>
          </w:p>
        </w:tc>
      </w:tr>
      <w:tr>
        <w:tc>
          <w:tcPr>
            <w:tcW w:type="dxa" w:w="9360"/>
            <w:shd w:val="clear" w:color="auto" w:fill="1A3A5C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CCF0FA"/>
                <w:sz w:val="20"/>
              </w:rPr>
              <w:t>NFPA 58 / BS 6400-3 appliance-schedule method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360"/>
            <w:gridSpan w:val="2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Project Information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Name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Marina Commercial Tower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No.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MCT-2026-MEP-001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Revision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P2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Client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6B7280"/>
                <w:sz w:val="18"/>
              </w:rPr>
              <w:t>—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Prepared by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Hussein Ragab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Checked by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6B7280"/>
                <w:sz w:val="18"/>
              </w:rPr>
              <w:t>—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Date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2026-10-20</w:t>
            </w:r>
          </w:p>
        </w:tc>
      </w:tr>
    </w:tbl>
    <w:p/>
    <w:p>
      <w:r>
        <w:rPr>
          <w:rFonts w:ascii="Calibri" w:hAnsi="Calibri"/>
          <w:i/>
          <w:color w:val="374151"/>
          <w:sz w:val="18"/>
        </w:rPr>
        <w:t>Values in this report are displayed in SI (metric) units.  Working units: m3/hr, kg/day, US gallons.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1.  Methodology &amp; Standards</w:t>
      </w:r>
    </w:p>
    <w:p>
      <w:r>
        <w:t>Gas demand is built from an appliance schedule per premises: each appliance's input rating (NFPA 54 Table A.5.3.2.1) is diversified within a domestic premises by the BS 6400-3 Table A.1 factors and count rule (a commercial premises is taken at connected load x the commercial diversity factor), then converted to an LPG volume at the selected mix CV (BS 6400-3 A.2). For an infrastructure connection the deliverable is the peak design flow rate. For on-site storage the daily LPG consumption (peak x operating-hours/day) gives the autonomy of the selected tanks at the filling limit (80 % here; NFPA 58 Table 7.4.2.3(a)); the peak is checked against the tank's natural vaporization and a vaporizer is sized if required (NFPA 58 Ch. 11).</w:t>
      </w:r>
    </w:p>
    <w:p>
      <w:r>
        <w:rPr>
          <w:i/>
        </w:rPr>
        <w:t>Provenance: appliance input ratings are NFPA 54 Table A.5.3.2.1 and the within-premises diversity of a domestic premises is BS 6400-3 Table A.1 (both code); a commercial premises uses the commercial diversity factor stated on the AHJ basis line. The appliance-set composition and the operating-hours/day per premises type are project assumptions (editable) - confirm against the actual load schedule per project.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2.  Design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LPG mix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LPG 60/40 (propane/butane)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Cross-premises diversity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none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Supply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On-site tank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Usable fill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80 %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Installation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aboveground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Vaporizer assessed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yes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Design level / min ambient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25 % / 5 degC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Supplier refill cycle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7 days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Appliance-schedule demand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Premises type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Contribution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Restaurant (large)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2 units, peak 202.2 kW/unit x div 1.00, 293.8 kg/day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Restaurant (small)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4 units, peak 123.1 kW/unit x div 1.00, 286.1 kg/day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3.  Design Assumptions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Peak demand is built from an APPLIANCE SCHEDULE per premises: each appliance's input rating (NFPA 54 Table A.5.3.2.1, or nameplate) is diversified WITHIN a DOMESTIC premises by the BS 6400-3 Table A.1 factors and count rule (&lt;=2 appliances -&gt; factor 1, &gt;2 -&gt; Table A.1); a COMMERCIAL premises is taken at its CONNECTED load x the commercial diversity factor (see the AHJ basis line - Table A.1 is a domestic meter-sizing table). The appliance set and the equivalent operating hours/day per premises type are project assumptions (editable), NOT code values - confirm per project.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Heat input is converted to an LPG volume via the selected mix calorific value (BS 6400-3 A.2: kW x 3.6 / CV). The mix CV is the mass-weighted total heating value of the composition (NFPA 58 (2024) Table B.1.2(b), total heating value 49,920 / 49,140 kJ/kg: propane 49.92 / butane 49.14 MJ/kg) times the CoolProp vapour density at 15 degC / 101.325 kPa; the mix composition is stated in mole %.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Across premises the peaks are summed at CONNECTED load by default (no population-diversity credit). An optional cross-premises factor (manual, per NFPA 54 # 5.3.2.3 Exception, or the Velander statistical estimate) may be applied to the PEAK ONLY; the daily energy (tank-autonomy basis) is never diversity-reduced.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Where the cross-premises factor is enabled it is applied PER PREMISES ROW (N = that row's unit count) — the conservative granularity, since separate rows are typically distinct buildings/uses. The Pipe Sizing mode pools coincidence over the whole served network instead, so its design flow can sit slightly below this page's on multi-row jobs.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Commercial premises daily energy = connected load x commercial diversity factor x operating hours/day: every appliance is assumed to run at its full rated input for all of the operating hours. Set the operating hours/day as equivalent full-load hours for the actual use.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The commercial premises appliance sets are representative defaults. A gas supplier's planning figure for the same premises type may be higher; the appliances actually connected govern - enter the project's appliance schedule (nameplate inputs) in the Library.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Tanks are filled to 80 % liquid by volume; the tool's 80 % default is the commercial-propane cell of NFPA 58 (2024) Table 7.4.2.3(a), 40 F (4.4 C) row, aboveground containers 0-1200 gal (7.4.3.2(A) fixed-gauge basis) - containers over 1200 gal and underground / mounded containers take Tables 7.4.2.3(b) / (c), which this tool does not read (the result warnings say so per tank). This fill sizes the LPG charge, the loaded weight and the natural-vaporization liquid available.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Autonomy is the usable DRAWDOWN - the fill limit (80 %) minus a low-level reserve (25 %) = 55 % - divided by the average daily consumption. The reserve (refill heel) is a project / operational basis, NOT a code value; confirm per project.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Natural (passive) vaporization is a first-principles still-air heat balance mdot = h x A_wetted x (T_amb - T_boil) / L (latent heat + boiling point NFPA 58 (2024) Annex B Table B.1.2(b); Churchill-Chu free-convection h; NFPA 58 publishes no still-air vaporization rate) at the design minimum ambient (ground temperature at tank depth for an underground / mounded tank) and low liquid level (a conservative worst case); a vaporizer is sized where peak demand exceeds this capacity (NFPA 58 Ch. 11). FEI continuous-draw cross-check withheld: the FEI sheet is not filed in ref/ (ruling 31a-3, 2026-09-05).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Tank tare weights: Superior Propane 'Propane Tank Volume Capacity' p.1 (source: CSA B149HB), approx. tare weight, saddles / skids excluded; sizes the sheet does not print are interpolated on its ladder and marked 'tare typical'. Dimensions are typical catalogue values - confirm against the supplied tank's plate.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AHJ basis: Commercial premises diversity factor (x connected load) 1 (default)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4.  Step-by-Step Calculation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LPG mix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row from mix library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LPG 60/40 (propane/butane)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LPG 60/40 (propane/butane)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Composition 60 % propane by MOLE (not by mass). LPG CV 106.7 MJ/m3 vapour, vapour 2.1529 kg/m3, liquid 0.5432 kg/L. CoolProp HEOS Propane[0.6]&amp;n-Butane[0.4] (mole) @ 15 degC; NG-&gt;LPG from CV (HHV NFPA 58 Table B.1.2(b); NG 38.7 MJ/m3)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Restaurant (large)  x2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peak = connected kW x commercial factor ; daily = peak x hours ; LPG = kW*3.6/CV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peak 202.22 kW/premises (connected 202.22), 10 h/day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peak 13.646 m3/hr ; 293.79 kg/day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Ratings NFPA 54 Table A.5.3.2.1; commercial premises: connected load x commercial diversity factor 1 (AHJ basis).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Restaurant (small)  x4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peak = connected kW x commercial factor ; daily = peak x hours ; LPG = kW*3.6/CV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peak 123.09 kW/premises (connected 123.09), 8 h/day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peak 16.613 m3/hr ; 286.12 kg/day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Ratings NFPA 54 Table A.5.3.2.1; commercial premises: connected load x commercial diversity factor 1 (AHJ basis).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Totals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sum over premises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peak 30.259 m3/hr (65.14 kg/hr)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daily = 579.9 kg (1067.6 L = 282.0 US gal/day)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Tank combination + autonomy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drawdown = sum(gal*count) * (fill - reserve) ; autonomy = drawdown / daily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4x1000 = 4000 gal installed x (80% fill - 25% reserve) = 2200 gal drawdown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autonomy = 2200 gal / 282 gal/day = 7.8 days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Fill limit 80 % - the 80 % default is the commercial-propane cell of NFPA 58 (2024) Table 7.4.2.3(a), 40 F (4.4 C) row, aboveground containers 0-1200 gal (7.4.3.2(A) fixed-gauge basis); the low-level reserve (25%) is a project / operational basis, NOT a code value.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Natural vaporization (worst case, heat balance)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mdot = h*A_wetted*dT/L  [still-air heat balance; Churchill-Chu h; NFPA 58 Table B.1.2(b) L, BP]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combo 4x1000, T_amb=5C (ambient), level=25%, T_boil=-14C @ 1 barg [CoolProp HEOS], h=3.7 W/m2K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15.54 kg/hr capacity vs 65.14 kg/hr demand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First principles (still air, aboveground basis). Latent heat + boiling point NFPA 58 Table B.1.2(b); NFPA 58 publishes no still-air vaporization rate (its fire-exposure relief formula is not used); confirm vs the tank maker's continuous-draw curve.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Vaporizer (throughput match)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smallest rated kg/hr &gt;= peak demand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demand 65.1 kg/hr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selected Electric (immersion) 80 kg/h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5. 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Peak demand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30.26 m3/hr (65.14 kg/hr)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Daily consumption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579.9 kg/day (282.0 US gal/day)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Tanks selected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 x 1000 gal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Fill limit (NFPA 58 Table 7.4.2.3(a))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80 % (printed maximum 82 % for this mix, Table 7.4.2.3(a) 40 F)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Low-level reserve (refill heel)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25 %  (project basis)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Usable drawdown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55 %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Installed / usable drawdown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4000 / 2200 US gal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Loaded weight (all tanks)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9,760 kg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Autonomy achieved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7.8 days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Natural vaporization (still-air heat balance)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15.54 kg/hr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Vaporizer required?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Yes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Refill interval by capacity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Capacity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Refill interval (single tank)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250 US gal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0.5 days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500 US gal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1.0 days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1000 US gal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2.0 days  (selected)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2000 US gal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3.9 days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4000 US gal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7.8 days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6000 US gal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11.7 days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12000 US gal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23.4 days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18000 US gal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35.1 days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30000 US gal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58.5 days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6.  Equipment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Specification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LPG storage tank 1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4 x 1000 US gal (3,785 L) water capacity; horizontal 1,041 mm dia x 4,902 mm long; empty (tare) approx. 795 kg, full (loaded) approx. 2,440 kg (800 US gal LPG per tank at the fill limit); dimensions typical, confirm with maker. Siting (NFPA 58 Table 6.4.1.1, aboveground): min sep to building / property line 25 ft (7.6 m), between containers 3 ft (1 m); 25 ft reducible per NFPA 58 # 6.4.1.3.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LPG vaporizer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1 x Electric (immersion) 80 kg/h (80 kg/hr); approx. 11 kW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Protection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Vehicular barrier protection required where the container is within 10 ft (3 m) of a public vehicular thoroughfare (NFPA 58 # 6.8.1.2).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Relief valves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Pressure relief valves are container-mounted (vendor-supplied); relief discharge &gt;= 5 ft (1.5 m) horizontally to building openings below the discharge and &gt;= 10 ft (3.0 m) to ignition sources / direct-vent appliance openings / mechanical air intakes (NFPA 58 Table 6.4.4.3, ASME filled at point of use).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FFF4E5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B45309"/>
                <w:sz w:val="20"/>
              </w:rPr>
              <w:t xml:space="preserve">  ⚠  Advisory</w:t>
            </w:r>
          </w:p>
        </w:tc>
      </w:tr>
      <w:tr>
        <w:tc>
          <w:tcPr>
            <w:tcW w:type="dxa" w:w="9360"/>
            <w:shd w:val="clear" w:color="auto" w:fill="FFF4E5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B45309"/>
                <w:sz w:val="18"/>
              </w:rPr>
              <w:t xml:space="preserve">   • Basis: PEAK demand = appliance input ratings (NFPA 54 Table A.5.3.2.1 / nameplate) x BS 6400-3 Table A.1 diversity WITHIN each DOMESTIC premises (Table A.1 is a meter-sizing table, meters up to 6 m3/h); a COMMERCIAL premises is taken at CONNECTED load x the commercial diversity factor (see the AHJ basis line); across premises the peak is summed at CONNECTED load (no population-diversity credit). Daily energy (tank autonomy) is never diversity-reduced. Appliance-set composition and operating hours/day are project assumptions - confirm per project.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R.  Reference Standards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NFPA 54 (2021) / ANSI Z223.1</w:t>
      </w:r>
      <w:r>
        <w:rPr>
          <w:rFonts w:ascii="Calibri" w:hAnsi="Calibri"/>
          <w:color w:val="374151"/>
          <w:sz w:val="18"/>
        </w:rPr>
        <w:t xml:space="preserve"> — National Fuel Gas Code — appliance input ratings (Table A.5.3.2.1, e.g. freestanding domestic range 65,000 Btu/hr; nameplate governs per # 5.3.2.1 / B.3.1); vapour pipe sizing (Table 6.4.2 Cr/Y + Annex B.5, with the Annex B.3.4 specific-gravity multiplier for gases other than propane); diversity permitted but unquantified (# 5.3.2.1 full connected load; # 5.3.2.3 Exception allows designer-established factors).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BS 6400-3 (2007)</w:t>
      </w:r>
      <w:r>
        <w:rPr>
          <w:rFonts w:ascii="Calibri" w:hAnsi="Calibri"/>
          <w:color w:val="374151"/>
          <w:sz w:val="18"/>
        </w:rPr>
        <w:t xml:space="preserve"> — LPG demand method (Annex A): demand = Sigma(kW x Table A.1 diversity) x 3.6 / CV. Table A.1 within-premises diversity factors + count rule (&lt;=2 appliances -&gt; factor 1, &gt;2 -&gt; Table A.1), applied to DOMESTIC premises only - Table A.1 is a meter-sizing table and the standard's # 1 Scope covers meters not exceeding 6 m3/h. Commercial premises are taken at connected load x the commercial diversity factor (AHJ basis line). Nominal 37 mbar propane 2nd-stage operating pressure.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BS EN 1555-2 (2025)</w:t>
      </w:r>
      <w:r>
        <w:rPr>
          <w:rFonts w:ascii="Calibri" w:hAnsi="Calibri"/>
          <w:color w:val="374151"/>
          <w:sz w:val="18"/>
        </w:rPr>
        <w:t xml:space="preserve"> — Plastics piping systems for the supply of gaseous fuels - PE pipes: Table 2 SDR 11 minimum wall thicknesses e_min (footnote c: 3,0 mm minimum for SDR 11) - the PE pipe bores (bore = OD - 2 x e_min).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BS 5482-1 (2005) / IGEM/UP/2 Ed 2</w:t>
      </w:r>
      <w:r>
        <w:rPr>
          <w:rFonts w:ascii="Calibri" w:hAnsi="Calibri"/>
          <w:color w:val="374151"/>
          <w:sz w:val="18"/>
        </w:rPr>
        <w:t xml:space="preserve"> — LPG pipework permissible design pressure drop (BS 5482-1 # 11.4.4.2 / IGEM/UP/2 Table 1, per-fuel rows): 2.5 mbar while OP &lt;= 42 mbar (LPG propane) or &lt;= 33 mbar (LPG butane); above that ceiling 10% of OP. The tool takes the row of the predominant fuel (propane &gt; 50% of the mix -&gt; propane row; otherwise butane row). BS 5482-1 # 11.4.4.2: the 2.5 mbar is measured from the regulator outlet to any draw-off point; IGEM/UP/2 Table 1 note 2: outlet of the regulator on the bulk tank / cylinder to the plant manual isolation valve (vapour phase). BS 5482-1 # 11.4.4.2 / Annex B.2 split it 0.5 mbar service + 2.0 mbar installation pipework. Variable-friction low-pressure flow (IGEM/UP/2 A3.1; friction f per A3.2); medium-pressure per A3.1(b); per-fitting equivalent lengths per A3.3; gas velocity per # 4.2.3 Table 2.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BS 6891 (2015)</w:t>
      </w:r>
      <w:r>
        <w:rPr>
          <w:rFonts w:ascii="Calibri" w:hAnsi="Calibri"/>
          <w:color w:val="374151"/>
          <w:sz w:val="18"/>
        </w:rPr>
        <w:t xml:space="preserve"> — Annex A.2 eq (A.1) low-pressure flow equation (identical to IGEM/UP/2 A3.1) with the eq (A.2) smooth-pipe friction factor and its printed efficiency factors e (0.86 steel, 0.95 copper, 0.97 PE) - the 'bs6891' method; Table A.3 assumed copper bores (13 / 19 / 25 / 32 mm for 15 / 22 / 28 / 35 mm tube) are the copper ladder's bores. Tables A.3 / A.4 are the method's printed goldens, not tabulated inputs. Butane cylinder supply: nominal 28 mbar (BS 6891:2015 Table 7, BS 3016 cylinder single-stage regulator row; BS 5482-1:2005 Scope and Table 3 notes: butane from cylinders at 28 mbar). Table 7 prints no butane final-stage row - enter the regulator's set pressure for a bulk butane final stage.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NFPA 58 (2024)</w:t>
      </w:r>
      <w:r>
        <w:rPr>
          <w:rFonts w:ascii="Calibri" w:hAnsi="Calibri"/>
          <w:color w:val="374151"/>
          <w:sz w:val="18"/>
        </w:rPr>
        <w:t xml:space="preserve"> — LP-Gas Code — maximum permitted filling limit (Table 7.4.2.3(a), 40 F row, aboveground containers to 1200 gal; 7.4.3.2(A)); total heating values, latent heat + boiling point (Annex B Table B.1.2(b)) used by the first-principles still-air natural-vaporization heat balance (NFPA 58 publishes no still-air vaporization rate; the fire-exposure relief formula is not used); container separation distances (Table 6.4.1.1; # 6.5.2.4 underground / mounded between-container minimum); relief-discharge + vehicular-barrier protection.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Cross-premises diversity</w:t>
      </w:r>
      <w:r>
        <w:rPr>
          <w:rFonts w:ascii="Calibri" w:hAnsi="Calibri"/>
          <w:color w:val="374151"/>
          <w:sz w:val="18"/>
        </w:rPr>
        <w:t xml:space="preserve"> — OPTIONAL (default off = connected load). 'Manual' = a designer-established factor (NFPA 54 # 5.3.2.3 Exception). 'Statistical' = the Velander / Rusck coincidence factor CF(N) = floor + (1 - floor)/sqrt(N) - an ENGINEERING ESTIMATE, not a published code value (no population-diversity curve is held). Applied to PEAK only; daily energy is never reduced.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Vaporization coefficient</w:t>
      </w:r>
      <w:r>
        <w:rPr>
          <w:rFonts w:ascii="Calibri" w:hAnsi="Calibri"/>
          <w:color w:val="374151"/>
          <w:sz w:val="18"/>
        </w:rPr>
        <w:t xml:space="preserve"> — Natural-vaporization convection coefficient = Churchill-Chu free convection (ASHRAE Fundamentals / textbook), a first-principles ambient rate NFPA 58 does not publish. No vendor continuous-draw table is used (the FEI sheet is not filed in the tool's reference set - engineer ruling 31a-3, 2026-09-05).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Superior Propane 'Propane Tank Volume Capacity' (source CSA B149HB)</w:t>
      </w:r>
      <w:r>
        <w:rPr>
          <w:rFonts w:ascii="Calibri" w:hAnsi="Calibri"/>
          <w:color w:val="374151"/>
          <w:sz w:val="18"/>
        </w:rPr>
        <w:t xml:space="preserve"> — Empty (tare) weights; untabulated ladder sizes interpolated and labelled typical. Tank dimensions are generic ASME horizontal-vessel values with no supplier sheet in the reference set - confirm with the selected tank maker.</w:t>
      </w:r>
    </w:p>
    <w:p>
      <w:r>
        <w:rPr>
          <w:rFonts w:ascii="Calibri" w:hAnsi="Calibri"/>
          <w:i/>
          <w:color w:val="6B7280"/>
          <w:sz w:val="16"/>
        </w:rPr>
        <w:t>Generated by the LPG Calculator (Tool 31a).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B7280"/>
        <w:sz w:val="16"/>
      </w:rPr>
      <w:t xml:space="preserve">Page </w:t>
    </w:r>
    <w:r>
      <w:rPr>
        <w:rFonts w:ascii="Calibri" w:hAnsi="Calibri"/>
        <w:color w:val="6B7280"/>
        <w:sz w:val="16"/>
      </w:rPr>
      <w:fldChar w:fldCharType="begin"/>
      <w:instrText>PAGE</w:instrText>
      <w:fldChar w:fldCharType="end"/>
    </w:r>
    <w:r>
      <w:rPr>
        <w:rFonts w:ascii="Calibri" w:hAnsi="Calibri"/>
        <w:color w:val="6B7280"/>
        <w:sz w:val="16"/>
      </w:rPr>
      <w:t xml:space="preserve"> of </w:t>
    </w:r>
    <w:r>
      <w:rPr>
        <w:rFonts w:ascii="Calibri" w:hAnsi="Calibri"/>
        <w:color w:val="6B7280"/>
        <w:sz w:val="16"/>
      </w:rPr>
      <w:fldChar w:fldCharType="begin"/>
      <w:instrText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