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792"/>
      </w:tblGrid>
      <w:tr>
        <w:tc>
          <w:tcPr>
            <w:tcW w:type="dxa" w:w="9792"/>
            <w:shd w:val="clear" w:color="auto" w:fill="0A2540"/>
          </w:tcPr>
          <w:p>
            <w:pPr>
              <w:jc w:val="center"/>
            </w:pPr>
            <w:r>
              <w:rPr>
                <w:rFonts w:ascii="Calibri" w:hAnsi="Calibri"/>
                <w:b/>
                <w:color w:val="FFFFFF"/>
                <w:sz w:val="40"/>
              </w:rPr>
              <w:t>Occupancy Calculation Report</w:t>
            </w:r>
          </w:p>
        </w:tc>
      </w:tr>
      <w:tr>
        <w:tc>
          <w:tcPr>
            <w:tcW w:type="dxa" w:w="9792"/>
            <w:shd w:val="clear" w:color="auto" w:fill="0D4F6B"/>
          </w:tcPr>
          <w:p>
            <w:pPr>
              <w:jc w:val="center"/>
            </w:pPr>
            <w:r>
              <w:rPr>
                <w:rFonts w:ascii="Calibri" w:hAnsi="Calibri"/>
                <w:b w:val="0"/>
                <w:color w:val="FFFFFF"/>
                <w:sz w:val="24"/>
              </w:rPr>
              <w:t>NFPA 101-2024  |  Marina Commercial Tower</w:t>
            </w:r>
          </w:p>
        </w:tc>
      </w:tr>
      <w:tr>
        <w:tc>
          <w:tcPr>
            <w:tcW w:type="dxa" w:w="9792"/>
            <w:shd w:val="clear" w:color="auto" w:fill="1A3A5C"/>
          </w:tcPr>
          <w:p>
            <w:pPr>
              <w:jc w:val="center"/>
            </w:pPr>
            <w:r>
              <w:rPr>
                <w:rFonts w:ascii="Calibri" w:hAnsi="Calibri"/>
                <w:b w:val="0"/>
                <w:color w:val="CCF0FA"/>
                <w:sz w:val="20"/>
              </w:rPr>
              <w:t>1 building  •  Project total OL: 2827 persons</w:t>
            </w:r>
          </w:p>
        </w:tc>
      </w:tr>
    </w:tbl>
    <w:p/>
    <w:tbl>
      <w:tblPr>
        <w:tblStyle w:val="TableGrid"/>
        <w:tblW w:type="auto" w:w="0"/>
        <w:tblLook w:firstColumn="1" w:firstRow="1" w:lastColumn="0" w:lastRow="0" w:noHBand="0" w:noVBand="1" w:val="04A0"/>
      </w:tblPr>
      <w:tblGrid>
        <w:gridCol w:w="4896"/>
        <w:gridCol w:w="4896"/>
      </w:tblGrid>
      <w:tr>
        <w:tc>
          <w:tcPr>
            <w:tcW w:type="dxa" w:w="9792"/>
            <w:gridSpan w:val="2"/>
            <w:shd w:val="clear" w:color="auto" w:fill="0A2540"/>
          </w:tcPr>
          <w:p>
            <w:pPr>
              <w:jc w:val="center"/>
            </w:pPr>
            <w:r>
              <w:rPr>
                <w:rFonts w:ascii="Calibri" w:hAnsi="Calibri"/>
                <w:b/>
                <w:i w:val="0"/>
                <w:color w:val="FFFFFF"/>
                <w:sz w:val="20"/>
              </w:rPr>
              <w:t>Project Information</w:t>
            </w:r>
          </w:p>
        </w:tc>
      </w:tr>
      <w:tr>
        <w:tc>
          <w:tcPr>
            <w:tcW w:type="dxa" w:w="4896"/>
            <w:shd w:val="clear" w:color="auto" w:fill="EFF9FC"/>
          </w:tcPr>
          <w:p>
            <w:pPr>
              <w:jc w:val="left"/>
            </w:pPr>
            <w:r>
              <w:rPr>
                <w:rFonts w:ascii="Calibri" w:hAnsi="Calibri"/>
                <w:b/>
                <w:i w:val="0"/>
                <w:sz w:val="18"/>
              </w:rPr>
              <w:t>Project Name</w:t>
            </w:r>
          </w:p>
        </w:tc>
        <w:tc>
          <w:tcPr>
            <w:tcW w:type="dxa" w:w="4896"/>
            <w:shd w:val="clear" w:color="auto" w:fill="EFF9FC"/>
          </w:tcPr>
          <w:p>
            <w:pPr>
              <w:jc w:val="left"/>
            </w:pPr>
            <w:r>
              <w:rPr>
                <w:rFonts w:ascii="Calibri" w:hAnsi="Calibri"/>
                <w:b w:val="0"/>
                <w:i w:val="0"/>
                <w:color w:val="0B3D91"/>
                <w:sz w:val="18"/>
              </w:rPr>
              <w:t>Marina Commercial Tower</w:t>
            </w:r>
          </w:p>
        </w:tc>
      </w:tr>
      <w:tr>
        <w:tc>
          <w:tcPr>
            <w:tcW w:type="dxa" w:w="4896"/>
            <w:shd w:val="clear" w:color="auto" w:fill="FFFFFF"/>
          </w:tcPr>
          <w:p>
            <w:pPr>
              <w:jc w:val="left"/>
            </w:pPr>
            <w:r>
              <w:rPr>
                <w:rFonts w:ascii="Calibri" w:hAnsi="Calibri"/>
                <w:b/>
                <w:i w:val="0"/>
                <w:sz w:val="18"/>
              </w:rPr>
              <w:t>Project No.</w:t>
            </w:r>
          </w:p>
        </w:tc>
        <w:tc>
          <w:tcPr>
            <w:tcW w:type="dxa" w:w="4896"/>
            <w:shd w:val="clear" w:color="auto" w:fill="FFFFFF"/>
          </w:tcPr>
          <w:p>
            <w:pPr>
              <w:jc w:val="left"/>
            </w:pPr>
            <w:r>
              <w:rPr>
                <w:rFonts w:ascii="Calibri" w:hAnsi="Calibri"/>
                <w:b w:val="0"/>
                <w:i w:val="0"/>
                <w:color w:val="0B3D91"/>
                <w:sz w:val="18"/>
              </w:rPr>
              <w:t>MCT-2026-MEP-001</w:t>
            </w:r>
          </w:p>
        </w:tc>
      </w:tr>
      <w:tr>
        <w:tc>
          <w:tcPr>
            <w:tcW w:type="dxa" w:w="4896"/>
            <w:shd w:val="clear" w:color="auto" w:fill="EFF9FC"/>
          </w:tcPr>
          <w:p>
            <w:pPr>
              <w:jc w:val="left"/>
            </w:pPr>
            <w:r>
              <w:rPr>
                <w:rFonts w:ascii="Calibri" w:hAnsi="Calibri"/>
                <w:b/>
                <w:i w:val="0"/>
                <w:sz w:val="18"/>
              </w:rPr>
              <w:t>Revision</w:t>
            </w:r>
          </w:p>
        </w:tc>
        <w:tc>
          <w:tcPr>
            <w:tcW w:type="dxa" w:w="4896"/>
            <w:shd w:val="clear" w:color="auto" w:fill="EFF9FC"/>
          </w:tcPr>
          <w:p>
            <w:pPr>
              <w:jc w:val="left"/>
            </w:pPr>
            <w:r>
              <w:rPr>
                <w:rFonts w:ascii="Calibri" w:hAnsi="Calibri"/>
                <w:b w:val="0"/>
                <w:i w:val="0"/>
                <w:color w:val="0B3D91"/>
                <w:sz w:val="18"/>
              </w:rPr>
              <w:t>P2</w:t>
            </w:r>
          </w:p>
        </w:tc>
      </w:tr>
      <w:tr>
        <w:tc>
          <w:tcPr>
            <w:tcW w:type="dxa" w:w="4896"/>
            <w:shd w:val="clear" w:color="auto" w:fill="FFFFFF"/>
          </w:tcPr>
          <w:p>
            <w:pPr>
              <w:jc w:val="left"/>
            </w:pPr>
            <w:r>
              <w:rPr>
                <w:rFonts w:ascii="Calibri" w:hAnsi="Calibri"/>
                <w:b/>
                <w:i w:val="0"/>
                <w:sz w:val="18"/>
              </w:rPr>
              <w:t>Client</w:t>
            </w:r>
          </w:p>
        </w:tc>
        <w:tc>
          <w:tcPr>
            <w:tcW w:type="dxa" w:w="4896"/>
            <w:shd w:val="clear" w:color="auto" w:fill="FFFFFF"/>
          </w:tcPr>
          <w:p>
            <w:pPr>
              <w:jc w:val="left"/>
            </w:pPr>
            <w:r>
              <w:rPr>
                <w:rFonts w:ascii="Calibri" w:hAnsi="Calibri"/>
                <w:b w:val="0"/>
                <w:i w:val="0"/>
                <w:color w:val="6B7280"/>
                <w:sz w:val="18"/>
              </w:rPr>
              <w:t>—</w:t>
            </w:r>
          </w:p>
        </w:tc>
      </w:tr>
      <w:tr>
        <w:tc>
          <w:tcPr>
            <w:tcW w:type="dxa" w:w="4896"/>
            <w:shd w:val="clear" w:color="auto" w:fill="EFF9FC"/>
          </w:tcPr>
          <w:p>
            <w:pPr>
              <w:jc w:val="left"/>
            </w:pPr>
            <w:r>
              <w:rPr>
                <w:rFonts w:ascii="Calibri" w:hAnsi="Calibri"/>
                <w:b/>
                <w:i w:val="0"/>
                <w:sz w:val="18"/>
              </w:rPr>
              <w:t>Prepared by</w:t>
            </w:r>
          </w:p>
        </w:tc>
        <w:tc>
          <w:tcPr>
            <w:tcW w:type="dxa" w:w="4896"/>
            <w:shd w:val="clear" w:color="auto" w:fill="EFF9FC"/>
          </w:tcPr>
          <w:p>
            <w:pPr>
              <w:jc w:val="left"/>
            </w:pPr>
            <w:r>
              <w:rPr>
                <w:rFonts w:ascii="Calibri" w:hAnsi="Calibri"/>
                <w:b w:val="0"/>
                <w:i w:val="0"/>
                <w:color w:val="0B3D91"/>
                <w:sz w:val="18"/>
              </w:rPr>
              <w:t>Hussein Ragab</w:t>
            </w:r>
          </w:p>
        </w:tc>
      </w:tr>
      <w:tr>
        <w:tc>
          <w:tcPr>
            <w:tcW w:type="dxa" w:w="4896"/>
            <w:shd w:val="clear" w:color="auto" w:fill="FFFFFF"/>
          </w:tcPr>
          <w:p>
            <w:pPr>
              <w:jc w:val="left"/>
            </w:pPr>
            <w:r>
              <w:rPr>
                <w:rFonts w:ascii="Calibri" w:hAnsi="Calibri"/>
                <w:b/>
                <w:i w:val="0"/>
                <w:sz w:val="18"/>
              </w:rPr>
              <w:t>Checked by</w:t>
            </w:r>
          </w:p>
        </w:tc>
        <w:tc>
          <w:tcPr>
            <w:tcW w:type="dxa" w:w="4896"/>
            <w:shd w:val="clear" w:color="auto" w:fill="FFFFFF"/>
          </w:tcPr>
          <w:p>
            <w:pPr>
              <w:jc w:val="left"/>
            </w:pPr>
            <w:r>
              <w:rPr>
                <w:rFonts w:ascii="Calibri" w:hAnsi="Calibri"/>
                <w:b w:val="0"/>
                <w:i w:val="0"/>
                <w:color w:val="6B7280"/>
                <w:sz w:val="18"/>
              </w:rPr>
              <w:t>—</w:t>
            </w:r>
          </w:p>
        </w:tc>
      </w:tr>
      <w:tr>
        <w:tc>
          <w:tcPr>
            <w:tcW w:type="dxa" w:w="4896"/>
            <w:shd w:val="clear" w:color="auto" w:fill="EFF9FC"/>
          </w:tcPr>
          <w:p>
            <w:pPr>
              <w:jc w:val="left"/>
            </w:pPr>
            <w:r>
              <w:rPr>
                <w:rFonts w:ascii="Calibri" w:hAnsi="Calibri"/>
                <w:b/>
                <w:i w:val="0"/>
                <w:sz w:val="18"/>
              </w:rPr>
              <w:t>Date</w:t>
            </w:r>
          </w:p>
        </w:tc>
        <w:tc>
          <w:tcPr>
            <w:tcW w:type="dxa" w:w="4896"/>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w:t>
      </w:r>
    </w:p>
    <w:p>
      <w:pPr>
        <w:pStyle w:val="Heading1"/>
        <w:pBdr>
          <w:bottom w:val="single" w:sz="6" w:space="4" w:color="0A2540"/>
        </w:pBdr>
      </w:pPr>
      <w:r>
        <w:rPr>
          <w:rFonts w:ascii="Calibri" w:hAnsi="Calibri"/>
          <w:b/>
          <w:color w:val="0A2540"/>
          <w:sz w:val="26"/>
        </w:rPr>
        <w:t>1.  Methodology and Standards</w:t>
      </w:r>
    </w:p>
    <w:p>
      <w:r>
        <w:t>This report computes the building occupant load per NFPA 101, 2024 Edition, #7.3.1.2 Table 7.3.1.2 (Occupant Load Factor). For each space, occupant load is the floor area assigned to that use divided by the per-use occupant load factor (OLF); the result is rounded up to the next whole person (#7.3.1.2 'not less than'); an engineer-applied #7.3.1.3 increase factor k is applied to that established whole-person load and the product rounded up again. For typical floors declared with a multiplier (e.g. 'L5–L24 typical ×20'), the per-instance occupant load is what determines the per-story stair width and minimum number of means of egress per NFPA #7.3.1.4 / #7.4.1.4 — the multiplier scales the project total only. Each Building carries ONE occupancy classification declared by the engineer (the macro), while each Space's OLF is picked from Table 7.3.1.2 based on its actual use (the micro). NFPA #6.1.14.3.2 requires a building with MIXED occupancies to comply with the most restrictive requirements of the occupancies involved; this report does NOT take that most-restrictive envelope - it applies the declared class's chapter only (incidental areas may be treated as part of the predominant occupancy per #6.1.14.1.3; separated occupancies, #6.1.14.4, can be modelled as separate Buildings).</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Reference</w:t>
            </w:r>
          </w:p>
        </w:tc>
        <w:tc>
          <w:tcPr>
            <w:tcW w:type="dxa" w:w="4896"/>
            <w:shd w:val="clear" w:color="auto" w:fill="0A2540"/>
          </w:tcPr>
          <w:p>
            <w:pPr>
              <w:jc w:val="center"/>
            </w:pPr>
            <w:r>
              <w:rPr>
                <w:rFonts w:ascii="Calibri" w:hAnsi="Calibri"/>
                <w:b/>
                <w:i w:val="0"/>
                <w:color w:val="FFFFFF"/>
                <w:sz w:val="18"/>
              </w:rPr>
              <w:t>Application</w:t>
            </w:r>
          </w:p>
        </w:tc>
      </w:tr>
      <w:tr>
        <w:tc>
          <w:tcPr>
            <w:tcW w:type="dxa" w:w="4896"/>
            <w:shd w:val="clear" w:color="auto" w:fill="EFF9FC"/>
          </w:tcPr>
          <w:p>
            <w:pPr>
              <w:jc w:val="left"/>
            </w:pPr>
            <w:r>
              <w:rPr>
                <w:rFonts w:ascii="Calibri" w:hAnsi="Calibri"/>
                <w:b/>
                <w:i w:val="0"/>
                <w:color w:val="0A2540"/>
                <w:sz w:val="18"/>
              </w:rPr>
              <w:t>NFPA 101-2024 #6.1.14</w:t>
            </w:r>
          </w:p>
        </w:tc>
        <w:tc>
          <w:tcPr>
            <w:tcW w:type="dxa" w:w="4896"/>
            <w:shd w:val="clear" w:color="auto" w:fill="EFF9FC"/>
          </w:tcPr>
          <w:p>
            <w:pPr>
              <w:jc w:val="left"/>
            </w:pPr>
            <w:r>
              <w:rPr>
                <w:rFonts w:ascii="Calibri" w:hAnsi="Calibri"/>
                <w:b w:val="0"/>
                <w:i w:val="0"/>
                <w:sz w:val="18"/>
              </w:rPr>
              <w:t>Multiple occupancies (#6.1.14.1): mixed (#6.1.14.3) — the building complies with the most restrictive requirements of the occupancies involved (#6.1.14.3.2) — or separated (#6.1.14.4) — each separated portion complies with its own occupancy (#6.1.14.4.5). This tool applies ONE class per Building (the engineer's declared classification; incidental areas per #6.1.14.1.3) and does NOT take the most-restrictive envelope.</w:t>
            </w:r>
          </w:p>
        </w:tc>
      </w:tr>
      <w:tr>
        <w:tc>
          <w:tcPr>
            <w:tcW w:type="dxa" w:w="4896"/>
            <w:shd w:val="clear" w:color="auto" w:fill="FFFFFF"/>
          </w:tcPr>
          <w:p>
            <w:pPr>
              <w:jc w:val="left"/>
            </w:pPr>
            <w:r>
              <w:rPr>
                <w:rFonts w:ascii="Calibri" w:hAnsi="Calibri"/>
                <w:b/>
                <w:i w:val="0"/>
                <w:color w:val="0A2540"/>
                <w:sz w:val="18"/>
              </w:rPr>
              <w:t>NFPA 101-2024 #7.3.1.2 Table 7.3.1.2</w:t>
            </w:r>
          </w:p>
        </w:tc>
        <w:tc>
          <w:tcPr>
            <w:tcW w:type="dxa" w:w="4896"/>
            <w:shd w:val="clear" w:color="auto" w:fill="FFFFFF"/>
          </w:tcPr>
          <w:p>
            <w:pPr>
              <w:jc w:val="left"/>
            </w:pPr>
            <w:r>
              <w:rPr>
                <w:rFonts w:ascii="Calibri" w:hAnsi="Calibri"/>
                <w:b w:val="0"/>
                <w:i w:val="0"/>
                <w:sz w:val="18"/>
              </w:rPr>
              <w:t>Occupant Load Factor (per-use area densities).</w:t>
            </w:r>
          </w:p>
        </w:tc>
      </w:tr>
      <w:tr>
        <w:tc>
          <w:tcPr>
            <w:tcW w:type="dxa" w:w="4896"/>
            <w:shd w:val="clear" w:color="auto" w:fill="EFF9FC"/>
          </w:tcPr>
          <w:p>
            <w:pPr>
              <w:jc w:val="left"/>
            </w:pPr>
            <w:r>
              <w:rPr>
                <w:rFonts w:ascii="Calibri" w:hAnsi="Calibri"/>
                <w:b/>
                <w:i w:val="0"/>
                <w:color w:val="0A2540"/>
                <w:sz w:val="18"/>
              </w:rPr>
              <w:t>NFPA 101-2024 #7.3.1.3</w:t>
            </w:r>
          </w:p>
        </w:tc>
        <w:tc>
          <w:tcPr>
            <w:tcW w:type="dxa" w:w="4896"/>
            <w:shd w:val="clear" w:color="auto" w:fill="EFF9FC"/>
          </w:tcPr>
          <w:p>
            <w:pPr>
              <w:jc w:val="left"/>
            </w:pPr>
            <w:r>
              <w:rPr>
                <w:rFonts w:ascii="Calibri" w:hAnsi="Calibri"/>
                <w:b w:val="0"/>
                <w:i w:val="0"/>
                <w:sz w:val="18"/>
              </w:rPr>
              <w:t>Occupant load increases (engineer-applied k &gt;= 1.0), applied to the established whole-person load and rounded up: OL' = ceil(OL x k).</w:t>
            </w:r>
          </w:p>
        </w:tc>
      </w:tr>
      <w:tr>
        <w:tc>
          <w:tcPr>
            <w:tcW w:type="dxa" w:w="4896"/>
            <w:shd w:val="clear" w:color="auto" w:fill="FFFFFF"/>
          </w:tcPr>
          <w:p>
            <w:pPr>
              <w:jc w:val="left"/>
            </w:pPr>
            <w:r>
              <w:rPr>
                <w:rFonts w:ascii="Calibri" w:hAnsi="Calibri"/>
                <w:b/>
                <w:i w:val="0"/>
                <w:color w:val="0A2540"/>
                <w:sz w:val="18"/>
              </w:rPr>
              <w:t>NFPA 101-2024 #7.3.1.4</w:t>
            </w:r>
          </w:p>
        </w:tc>
        <w:tc>
          <w:tcPr>
            <w:tcW w:type="dxa" w:w="4896"/>
            <w:shd w:val="clear" w:color="auto" w:fill="FFFFFF"/>
          </w:tcPr>
          <w:p>
            <w:pPr>
              <w:jc w:val="left"/>
            </w:pPr>
            <w:r>
              <w:rPr>
                <w:rFonts w:ascii="Calibri" w:hAnsi="Calibri"/>
                <w:b w:val="0"/>
                <w:i w:val="0"/>
                <w:sz w:val="18"/>
              </w:rPr>
              <w:t>Exits serving more than one story — per-floor sizing, PROVIDED THAT the required egress capacity of the exit is not decreased in the direction of egress travel.</w:t>
            </w:r>
          </w:p>
        </w:tc>
      </w:tr>
      <w:tr>
        <w:tc>
          <w:tcPr>
            <w:tcW w:type="dxa" w:w="4896"/>
            <w:shd w:val="clear" w:color="auto" w:fill="EFF9FC"/>
          </w:tcPr>
          <w:p>
            <w:pPr>
              <w:jc w:val="left"/>
            </w:pPr>
            <w:r>
              <w:rPr>
                <w:rFonts w:ascii="Calibri" w:hAnsi="Calibri"/>
                <w:b/>
                <w:i w:val="0"/>
                <w:color w:val="0A2540"/>
                <w:sz w:val="18"/>
              </w:rPr>
              <w:t>NFPA 101-2024 #7.4.1.4</w:t>
            </w:r>
          </w:p>
        </w:tc>
        <w:tc>
          <w:tcPr>
            <w:tcW w:type="dxa" w:w="4896"/>
            <w:shd w:val="clear" w:color="auto" w:fill="EFF9FC"/>
          </w:tcPr>
          <w:p>
            <w:pPr>
              <w:jc w:val="left"/>
            </w:pPr>
            <w:r>
              <w:rPr>
                <w:rFonts w:ascii="Calibri" w:hAnsi="Calibri"/>
                <w:b w:val="0"/>
                <w:i w:val="0"/>
                <w:sz w:val="18"/>
              </w:rPr>
              <w:t>Number of means of egress computed on each story individually, PROVIDED THAT the required number is not decreased in the direction of egress travel (count twin of #7.3.1.4).</w:t>
            </w:r>
          </w:p>
        </w:tc>
      </w:tr>
      <w:tr>
        <w:tc>
          <w:tcPr>
            <w:tcW w:type="dxa" w:w="4896"/>
            <w:shd w:val="clear" w:color="auto" w:fill="FFFFFF"/>
          </w:tcPr>
          <w:p>
            <w:pPr>
              <w:jc w:val="left"/>
            </w:pPr>
            <w:r>
              <w:rPr>
                <w:rFonts w:ascii="Calibri" w:hAnsi="Calibri"/>
                <w:b/>
                <w:i w:val="0"/>
                <w:color w:val="0A2540"/>
                <w:sz w:val="18"/>
              </w:rPr>
              <w:t>NFPA 101-2024 #7.3.1.5</w:t>
            </w:r>
          </w:p>
        </w:tc>
        <w:tc>
          <w:tcPr>
            <w:tcW w:type="dxa" w:w="4896"/>
            <w:shd w:val="clear" w:color="auto" w:fill="FFFFFF"/>
          </w:tcPr>
          <w:p>
            <w:pPr>
              <w:jc w:val="left"/>
            </w:pPr>
            <w:r>
              <w:rPr>
                <w:rFonts w:ascii="Calibri" w:hAnsi="Calibri"/>
                <w:b w:val="0"/>
                <w:i w:val="0"/>
                <w:sz w:val="18"/>
              </w:rPr>
              <w:t>Capacity from a point of convergence — where means of egress from a story above and a story below converge at an intermediate story, not less than the sum of the required capacity of the two.</w:t>
            </w:r>
          </w:p>
        </w:tc>
      </w:tr>
      <w:tr>
        <w:tc>
          <w:tcPr>
            <w:tcW w:type="dxa" w:w="4896"/>
            <w:shd w:val="clear" w:color="auto" w:fill="EFF9FC"/>
          </w:tcPr>
          <w:p>
            <w:pPr>
              <w:jc w:val="left"/>
            </w:pPr>
            <w:r>
              <w:rPr>
                <w:rFonts w:ascii="Calibri" w:hAnsi="Calibri"/>
                <w:b/>
                <w:i w:val="0"/>
                <w:color w:val="0A2540"/>
                <w:sz w:val="18"/>
              </w:rPr>
              <w:t>NFPA 101-2024 #7.3.3.1 Table 7.3.3.1</w:t>
            </w:r>
          </w:p>
        </w:tc>
        <w:tc>
          <w:tcPr>
            <w:tcW w:type="dxa" w:w="4896"/>
            <w:shd w:val="clear" w:color="auto" w:fill="EFF9FC"/>
          </w:tcPr>
          <w:p>
            <w:pPr>
              <w:jc w:val="left"/>
            </w:pPr>
            <w:r>
              <w:rPr>
                <w:rFonts w:ascii="Calibri" w:hAnsi="Calibri"/>
                <w:b w:val="0"/>
                <w:i w:val="0"/>
                <w:sz w:val="18"/>
              </w:rPr>
              <w:t>Egress capacity factors (stairways and level components / ramps), unless otherwise provided in #7.3.3.2 (wide-stairway capacity increase — permitted, and not taken by this report).</w:t>
            </w:r>
          </w:p>
        </w:tc>
      </w:tr>
      <w:tr>
        <w:tc>
          <w:tcPr>
            <w:tcW w:type="dxa" w:w="4896"/>
            <w:shd w:val="clear" w:color="auto" w:fill="FFFFFF"/>
          </w:tcPr>
          <w:p>
            <w:pPr>
              <w:jc w:val="left"/>
            </w:pPr>
            <w:r>
              <w:rPr>
                <w:rFonts w:ascii="Calibri" w:hAnsi="Calibri"/>
                <w:b/>
                <w:i w:val="0"/>
                <w:color w:val="0A2540"/>
                <w:sz w:val="18"/>
              </w:rPr>
              <w:t>NFPA 101-2024 #7.4.1.1 / #7.4.1.2</w:t>
            </w:r>
          </w:p>
        </w:tc>
        <w:tc>
          <w:tcPr>
            <w:tcW w:type="dxa" w:w="4896"/>
            <w:shd w:val="clear" w:color="auto" w:fill="FFFFFF"/>
          </w:tcPr>
          <w:p>
            <w:pPr>
              <w:jc w:val="left"/>
            </w:pPr>
            <w:r>
              <w:rPr>
                <w:rFonts w:ascii="Calibri" w:hAnsi="Calibri"/>
                <w:b w:val="0"/>
                <w:i w:val="0"/>
                <w:sz w:val="18"/>
              </w:rPr>
              <w:t>Minimum number of means of egress: not less than two (#7.4.1.1); not less than 3 for OL 501-1000 and not less than 4 for OL &gt; 1000 (#7.4.1.2).</w:t>
            </w:r>
          </w:p>
        </w:tc>
      </w:tr>
      <w:tr>
        <w:tc>
          <w:tcPr>
            <w:tcW w:type="dxa" w:w="4896"/>
            <w:shd w:val="clear" w:color="auto" w:fill="EFF9FC"/>
          </w:tcPr>
          <w:p>
            <w:pPr>
              <w:jc w:val="left"/>
            </w:pPr>
            <w:r>
              <w:rPr>
                <w:rFonts w:ascii="Calibri" w:hAnsi="Calibri"/>
                <w:b/>
                <w:i w:val="0"/>
                <w:color w:val="0A2540"/>
                <w:sz w:val="18"/>
              </w:rPr>
              <w:t>NFPA 101-2024 Chapters 11-43</w:t>
            </w:r>
          </w:p>
        </w:tc>
        <w:tc>
          <w:tcPr>
            <w:tcW w:type="dxa" w:w="4896"/>
            <w:shd w:val="clear" w:color="auto" w:fill="EFF9FC"/>
          </w:tcPr>
          <w:p>
            <w:pPr>
              <w:jc w:val="left"/>
            </w:pPr>
            <w:r>
              <w:rPr>
                <w:rFonts w:ascii="Calibri" w:hAnsi="Calibri"/>
                <w:b w:val="0"/>
                <w:i w:val="0"/>
                <w:sz w:val="18"/>
              </w:rPr>
              <w:t>Per-occupancy chapter rules: travel distance, common path, dead-end corridor, minimum corridor / aisle widths.</w:t>
            </w:r>
          </w:p>
        </w:tc>
      </w:tr>
    </w:tbl>
    <w:p/>
    <w:p>
      <w:r>
        <w:rPr>
          <w:rFonts w:ascii="Calibri" w:hAnsi="Calibri"/>
          <w:b/>
          <w:color w:val="0A2540"/>
          <w:sz w:val="22"/>
        </w:rPr>
        <w:t>AHJ basis - occupant-load factors used</w:t>
      </w:r>
    </w:p>
    <w:p>
      <w:pPr>
        <w:pStyle w:val="ListBullet"/>
      </w:pPr>
      <w:r>
        <w:rPr>
          <w:rFonts w:ascii="Calibri" w:hAnsi="Calibri"/>
          <w:color w:val="374151"/>
          <w:sz w:val="18"/>
        </w:rPr>
        <w:t>AHJ basis: Occupant load factor, Business Use (other than below) 14 m2/person (150 ft2/person) (default)</w:t>
      </w:r>
    </w:p>
    <w:p>
      <w:pPr>
        <w:pStyle w:val="ListBullet"/>
      </w:pPr>
      <w:r>
        <w:rPr>
          <w:rFonts w:ascii="Calibri" w:hAnsi="Calibri"/>
          <w:color w:val="374151"/>
          <w:sz w:val="18"/>
        </w:rPr>
        <w:t>AHJ basis: Occupant load factor, Collaboration rooms / spaces &gt; 450 ft² (41.8 m²) 1.4 m2/person (15 ft2/person) (default)</w:t>
      </w:r>
    </w:p>
    <w:p>
      <w:pPr>
        <w:pStyle w:val="Heading1"/>
        <w:pBdr>
          <w:bottom w:val="single" w:sz="6" w:space="4" w:color="0A2540"/>
        </w:pBdr>
      </w:pPr>
      <w:r>
        <w:rPr>
          <w:rFonts w:ascii="Calibri" w:hAnsi="Calibri"/>
          <w:b/>
          <w:color w:val="0A2540"/>
          <w:sz w:val="26"/>
        </w:rPr>
        <w:t>2.  Project Rollup</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Building</w:t>
            </w:r>
          </w:p>
        </w:tc>
        <w:tc>
          <w:tcPr>
            <w:tcW w:type="dxa" w:w="4896"/>
            <w:shd w:val="clear" w:color="auto" w:fill="0A2540"/>
          </w:tcPr>
          <w:p>
            <w:pPr>
              <w:jc w:val="center"/>
            </w:pPr>
            <w:r>
              <w:rPr>
                <w:rFonts w:ascii="Calibri" w:hAnsi="Calibri"/>
                <w:b/>
                <w:i w:val="0"/>
                <w:color w:val="FFFFFF"/>
                <w:sz w:val="18"/>
              </w:rPr>
              <w:t>Summary</w:t>
            </w:r>
          </w:p>
        </w:tc>
      </w:tr>
      <w:tr>
        <w:tc>
          <w:tcPr>
            <w:tcW w:type="dxa" w:w="4896"/>
            <w:shd w:val="clear" w:color="auto" w:fill="EFF9FC"/>
          </w:tcPr>
          <w:p>
            <w:pPr>
              <w:jc w:val="left"/>
            </w:pPr>
            <w:r>
              <w:rPr>
                <w:rFonts w:ascii="Calibri" w:hAnsi="Calibri"/>
                <w:b w:val="0"/>
                <w:i w:val="0"/>
                <w:sz w:val="18"/>
              </w:rPr>
              <w:t>Marina Commercial Tower</w:t>
            </w:r>
          </w:p>
        </w:tc>
        <w:tc>
          <w:tcPr>
            <w:tcW w:type="dxa" w:w="4896"/>
            <w:shd w:val="clear" w:color="auto" w:fill="EFF9FC"/>
          </w:tcPr>
          <w:p>
            <w:pPr>
              <w:jc w:val="left"/>
            </w:pPr>
            <w:r>
              <w:rPr>
                <w:rFonts w:ascii="Calibri" w:hAnsi="Calibri"/>
                <w:b/>
                <w:i w:val="0"/>
                <w:color w:val="0B3D91"/>
                <w:sz w:val="18"/>
              </w:rPr>
              <w:t>Business, New, Sprinklered  [Ch 38]  •  2 stories, 9 spaces  •  OL = 2827</w:t>
            </w:r>
          </w:p>
        </w:tc>
      </w:tr>
    </w:tbl>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Parameter</w:t>
            </w:r>
          </w:p>
        </w:tc>
        <w:tc>
          <w:tcPr>
            <w:tcW w:type="dxa" w:w="4896"/>
            <w:shd w:val="clear" w:color="auto" w:fill="0A2540"/>
          </w:tcPr>
          <w:p>
            <w:pPr>
              <w:jc w:val="center"/>
            </w:pPr>
            <w:r>
              <w:rPr>
                <w:rFonts w:ascii="Calibri" w:hAnsi="Calibri"/>
                <w:b/>
                <w:i w:val="0"/>
                <w:color w:val="FFFFFF"/>
                <w:sz w:val="18"/>
              </w:rPr>
              <w:t>Value</w:t>
            </w:r>
          </w:p>
        </w:tc>
      </w:tr>
      <w:tr>
        <w:tc>
          <w:tcPr>
            <w:tcW w:type="dxa" w:w="4896"/>
            <w:shd w:val="clear" w:color="auto" w:fill="EFF9FC"/>
          </w:tcPr>
          <w:p>
            <w:pPr>
              <w:jc w:val="left"/>
            </w:pPr>
            <w:r>
              <w:rPr>
                <w:rFonts w:ascii="Calibri" w:hAnsi="Calibri"/>
                <w:b w:val="0"/>
                <w:i w:val="0"/>
                <w:sz w:val="18"/>
              </w:rPr>
              <w:t>Project total occupant load</w:t>
            </w:r>
          </w:p>
        </w:tc>
        <w:tc>
          <w:tcPr>
            <w:tcW w:type="dxa" w:w="4896"/>
            <w:shd w:val="clear" w:color="auto" w:fill="EFF9FC"/>
          </w:tcPr>
          <w:p>
            <w:pPr>
              <w:jc w:val="left"/>
            </w:pPr>
            <w:r>
              <w:rPr>
                <w:rFonts w:ascii="Calibri" w:hAnsi="Calibri"/>
                <w:b/>
                <w:i w:val="0"/>
                <w:color w:val="0B3D91"/>
                <w:sz w:val="18"/>
              </w:rPr>
              <w:t>2827 persons</w:t>
            </w:r>
          </w:p>
        </w:tc>
      </w:tr>
    </w:tbl>
    <w:p/>
    <w:p>
      <w:pPr>
        <w:pStyle w:val="Heading1"/>
        <w:pBdr>
          <w:bottom w:val="single" w:sz="6" w:space="4" w:color="0A2540"/>
        </w:pBdr>
      </w:pPr>
      <w:r>
        <w:rPr>
          <w:rFonts w:ascii="Calibri" w:hAnsi="Calibri"/>
          <w:b/>
          <w:color w:val="0A2540"/>
          <w:sz w:val="26"/>
        </w:rPr>
        <w:t>3.  Design Assumptions</w:t>
      </w:r>
    </w:p>
    <w:p>
      <w:pPr>
        <w:pStyle w:val="ListBullet"/>
      </w:pPr>
      <w:r>
        <w:rPr>
          <w:rFonts w:ascii="Calibri" w:hAnsi="Calibri"/>
          <w:color w:val="374151"/>
          <w:sz w:val="18"/>
        </w:rPr>
        <w:t>Area-based OLF rows use gross floor area unless the row is flagged 'net' (Table 7.3.1.2 footnote a). NFPA 101-2024 #3.3.24.2.4 defines Net Floor Area as the floor area within the inside perimeter of the outside walls, or the outside walls and fire walls of a building, or outside and/or inside walls that bound an occupancy or incidental use area, with deductions for hallways, stairs, closets, shafts, thickness of interior walls, columns, and other features. Mechanical / electrical rooms and toilets are not named in the printed list; deduct them only under 'other features' and with the agreement of the authority having jurisdiction — over-deducting understates the occupant load and so understates the required egress width.</w:t>
      </w:r>
    </w:p>
    <w:p>
      <w:pPr>
        <w:pStyle w:val="ListBullet"/>
      </w:pPr>
      <w:r>
        <w:rPr>
          <w:rFonts w:ascii="Calibri" w:hAnsi="Calibri"/>
          <w:color w:val="374151"/>
          <w:sz w:val="18"/>
        </w:rPr>
        <w:t>Each space's occupant load is rounded UP (math.ceil) to the next whole person. NFPA 101 #7.3.1.2 requires the occupant load to be 'not less than the number of persons determined by dividing the floor area assigned to that use by the occupant load factor', so any value below that quotient is non-compliant and the round-up is required by the code, not a discretionary convention. (Printed A.7.3.3, 'In egress capacity calculations, standard rounding should be used', applies to egress capacity — not to the occupant load.)</w:t>
      </w:r>
    </w:p>
    <w:p>
      <w:pPr>
        <w:pStyle w:val="ListBullet"/>
      </w:pPr>
      <w:r>
        <w:rPr>
          <w:rFonts w:ascii="Calibri" w:hAnsi="Calibri"/>
          <w:color w:val="374151"/>
          <w:sz w:val="18"/>
        </w:rPr>
        <w:t>Occupant-load increases (k &gt; 1.0) are engineer-applied per #7.3.1.3 and require approval by the authority having jurisdiction.</w:t>
      </w:r>
    </w:p>
    <w:p>
      <w:pPr>
        <w:pStyle w:val="ListBullet"/>
      </w:pPr>
      <w:r>
        <w:rPr>
          <w:rFonts w:ascii="Calibri" w:hAnsi="Calibri"/>
          <w:color w:val="374151"/>
          <w:sz w:val="18"/>
        </w:rPr>
        <w:t>Special-purpose industrial and 'In storage occupancies' rows use the Maximum Probable (MP) headcount declared by the engineer rather than an area-based factor.</w:t>
      </w:r>
    </w:p>
    <w:p>
      <w:pPr>
        <w:pStyle w:val="ListBullet"/>
      </w:pPr>
      <w:r>
        <w:rPr>
          <w:rFonts w:ascii="Calibri" w:hAnsi="Calibri"/>
          <w:color w:val="374151"/>
          <w:sz w:val="18"/>
        </w:rPr>
        <w:t>Per-story egress-capacity widths use the per-floor occupant load, per #7.3.1.4 — which permits that only 'provided that the required egress capacity of the exit is not decreased in the direction of egress travel'. This report enforces that proviso: where a story alone would need less capacity than a story above it, the width reported is raised to the larger, each story's own per-floor requirement is retained in the calculation trace, and the adjustment is listed in the Warnings. The clamp assumes ONE exit serves the stories listed; where separate exits serve separate stories, review the per-floor values with the authority having jurisdiction.</w:t>
      </w:r>
    </w:p>
    <w:p>
      <w:pPr>
        <w:pStyle w:val="ListBullet"/>
      </w:pPr>
      <w:r>
        <w:rPr>
          <w:rFonts w:ascii="Calibri" w:hAnsi="Calibri"/>
          <w:color w:val="374151"/>
          <w:sz w:val="18"/>
        </w:rPr>
        <w:t>The minimum NUMBER of means of egress per story is #7.4.1.2 on that story's own occupant load, per #7.4.1.4 — which likewise requires that 'the required number of means of egress is not decreased in the direction of egress travel'. This report enforces that proviso too: where a story alone would require fewer means of egress than a story above it, the number reported is raised to the larger, the story's own #7.4.1.2 count is retained in the calculation trace, and the adjustment is listed in the Warnings.</w:t>
      </w:r>
    </w:p>
    <w:p>
      <w:pPr>
        <w:pStyle w:val="ListBullet"/>
      </w:pPr>
      <w:r>
        <w:rPr>
          <w:rFonts w:ascii="Calibri" w:hAnsi="Calibri"/>
          <w:color w:val="374151"/>
          <w:sz w:val="18"/>
        </w:rPr>
        <w:t>STORY ORDER: both provisos order the stories by their NUMERIC LEVEL (engineer ruling 2026-08-24) — level 0 is the level of exit discharge (ground), positive levels are above it and negative levels are basements; distance from the discharge is |level|, each side of the discharge is walked separately from the farthest story toward level 0, and the discharge level is raised by both sides. Entry order in the tool does not change the calculation; unassigned levels default to the entry order. The order applied is restated in the Warnings whenever a clamp fires; where a level is not the building's arrangement, edit the story's Level field and regenerate.</w:t>
      </w:r>
    </w:p>
    <w:p>
      <w:pPr>
        <w:pStyle w:val="ListBullet"/>
      </w:pPr>
      <w:r>
        <w:rPr>
          <w:rFonts w:ascii="Calibri" w:hAnsi="Calibri"/>
          <w:color w:val="374151"/>
          <w:sz w:val="18"/>
        </w:rPr>
        <w:t>Where a means of egress from a story above and a story below converge at an INTERMEDIATE story, #7.3.1.5 requires the capacity from the point of convergence to be not less than the sum of the required capacity of the two means of egress. Where the project declares an egress connection, this report performs that check and prints it under 'Egress Convergence Analysis (#7.3.1.5)'; each converging flow is priced at its OWN Table 7.3.3.1 row, and a source building contributes its GOVERNING story's required capacity (the largest per-story width, #7.3.1.4) times the connection's fraction (engineer ruling D66, 2026-09-22). Convergence is NOT inferred — a connection the engineer has not declared is not analysed. WITHIN one building (ruling C014, 2026-09-28), where stories exist both above and below level 0 the report either applies #7.3.1.5 at level 0 - the level-component capacity not less than the SUM of the two sides' required capacities, and the stair column likewise only where the merged flow is declared to continue on a stair - when the building declares that the flows converge there, or, when it does not, keeps the larger side (the #7.3.1.4 running maximum) and says so in the Warnings.</w:t>
      </w:r>
    </w:p>
    <w:p>
      <w:pPr>
        <w:pStyle w:val="ListBullet"/>
      </w:pPr>
      <w:r>
        <w:rPr>
          <w:rFonts w:ascii="Calibri" w:hAnsi="Calibri"/>
          <w:color w:val="374151"/>
          <w:sz w:val="18"/>
        </w:rPr>
        <w:t>Occupant-load factors are AHJ values: each is seeded from the printed NFPA 101-2024 Table 7.3.1.2 (or Annex Table A.7.3.1.2) value and may be changed by the engineer for the jurisdiction, per user or per project. The 'AHJ basis' list under Methodology names every factor used as default or user-set; a user-set factor is also named on its step, beside its default. An area entered in ft² is divided by the ft²/person factor and an area entered in m² by the m²/person factor, with no conversion first (the two printed members are not conversions of each other; ruling C039).</w:t>
      </w:r>
    </w:p>
    <w:p>
      <w:pPr>
        <w:pStyle w:val="ListBullet"/>
      </w:pPr>
      <w:r>
        <w:rPr>
          <w:rFonts w:ascii="Calibri" w:hAnsi="Calibri"/>
          <w:color w:val="374151"/>
          <w:sz w:val="18"/>
        </w:rPr>
        <w:t>NOT COMPUTED by this report — the model carries no corridor, balcony or per-exit objects and the widths printed here are capacity-derived only, so the following printed clauses must be evaluated separately: #7.3.1.1.2 (the means of egress shall be of such width and capacity that the loss of any one means of egress leaves available not less than 50 percent of the required capacity); #7.3.1.6 (where any required egress capacity from a balcony or mezzanine passes through the room below, that required capacity shall be added to the required egress capacity of the room in which it is located); #7.3.3.3 (the required capacity of a corridor); and #7.3.4.1(2) (the width of any means of egress shall be not less than 36 in. (915 mm) where another part of Chapter 7 and Chapters 11 through 43 do not specify a minimum width). The widths in this report are per-story aggregates and do not on their own demonstrate compliance with these four.</w:t>
      </w:r>
    </w:p>
    <w:p>
      <w:pPr>
        <w:pStyle w:val="ListBullet"/>
      </w:pPr>
      <w:r>
        <w:rPr>
          <w:rFonts w:ascii="Calibri" w:hAnsi="Calibri"/>
          <w:color w:val="374151"/>
          <w:sz w:val="18"/>
        </w:rPr>
        <w:t>Stairway capacity is taken from Table 7.3.3.1's linear factor. Printed #7.3.3.1 applies that table 'unless otherwise provided in 7.3.3.2', and #7.3.3.2 permits a stairway wider than 44 in. (1120 mm) that is subject to the 0.3 in. (7.6 mm) factor to be credited with a larger capacity via C = 146.7 + (Wn - 44)/0.218. This report does NOT take that credit: the equation only ever permits MORE persons per stair, so omitting it can never undersize an exit, but a wide stair may qualify for more capacity than reported here (see A.7.3.3.2 for the effective-width rationale).</w:t>
      </w:r>
    </w:p>
    <w:p>
      <w:pPr>
        <w:pStyle w:val="ListBullet"/>
      </w:pPr>
      <w:r>
        <w:rPr>
          <w:rFonts w:ascii="Calibri" w:hAnsi="Calibri"/>
          <w:color w:val="374151"/>
          <w:sz w:val="18"/>
        </w:rPr>
        <w:t>When two or more Buildings appear in the project (e.g. podium-tower), this tool applies each Building's own chapter rules independently. That matches SEPARATED occupancies only: #6.1.14.4.5 has each separated portion comply with the requirements for the occupancy therein, the portions being separated by fire barriers per #6.1.14.4.1. Where the occupancies are MIXED (not so separated), #6.1.14.3.2 requires the building to comply with the most restrictive requirements of the occupancies involved, unless separate safeguards are approved - this report does not take that envelope; check it by hand.</w:t>
      </w:r>
    </w:p>
    <w:p>
      <w:pPr>
        <w:pStyle w:val="Heading1"/>
        <w:pBdr>
          <w:bottom w:val="single" w:sz="6" w:space="4" w:color="0A2540"/>
        </w:pBdr>
      </w:pPr>
      <w:r>
        <w:rPr>
          <w:rFonts w:ascii="Calibri" w:hAnsi="Calibri"/>
          <w:b/>
          <w:color w:val="0A2540"/>
          <w:sz w:val="26"/>
        </w:rPr>
        <w:t>4.  Building: Marina Commercial Tower  (Business, New, Sprinklered)</w:t>
      </w:r>
    </w:p>
    <w:p>
      <w:r>
        <w:rPr>
          <w:rFonts w:ascii="Calibri" w:hAnsi="Calibri"/>
          <w:b/>
          <w:color w:val="0A2540"/>
          <w:sz w:val="22"/>
        </w:rPr>
        <w:t>Design inputs</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Input</w:t>
            </w:r>
          </w:p>
        </w:tc>
        <w:tc>
          <w:tcPr>
            <w:tcW w:type="dxa" w:w="4896"/>
            <w:shd w:val="clear" w:color="auto" w:fill="0A2540"/>
          </w:tcPr>
          <w:p>
            <w:pPr>
              <w:jc w:val="center"/>
            </w:pPr>
            <w:r>
              <w:rPr>
                <w:rFonts w:ascii="Calibri" w:hAnsi="Calibri"/>
                <w:b/>
                <w:i w:val="0"/>
                <w:color w:val="FFFFFF"/>
                <w:sz w:val="18"/>
              </w:rPr>
              <w:t>Value</w:t>
            </w:r>
          </w:p>
        </w:tc>
      </w:tr>
      <w:tr>
        <w:tc>
          <w:tcPr>
            <w:tcW w:type="dxa" w:w="4896"/>
            <w:shd w:val="clear" w:color="auto" w:fill="EFF9FC"/>
          </w:tcPr>
          <w:p>
            <w:pPr>
              <w:jc w:val="left"/>
            </w:pPr>
            <w:r>
              <w:rPr>
                <w:rFonts w:ascii="Calibri" w:hAnsi="Calibri"/>
                <w:b w:val="0"/>
                <w:i w:val="0"/>
                <w:sz w:val="18"/>
              </w:rPr>
              <w:t>Occupancy class</w:t>
            </w:r>
          </w:p>
        </w:tc>
        <w:tc>
          <w:tcPr>
            <w:tcW w:type="dxa" w:w="4896"/>
            <w:shd w:val="clear" w:color="auto" w:fill="EFF9FC"/>
          </w:tcPr>
          <w:p>
            <w:pPr>
              <w:jc w:val="left"/>
            </w:pPr>
            <w:r>
              <w:rPr>
                <w:rFonts w:ascii="Calibri" w:hAnsi="Calibri"/>
                <w:b/>
                <w:i w:val="0"/>
                <w:color w:val="0B3D91"/>
                <w:sz w:val="18"/>
              </w:rPr>
              <w:t>Business</w:t>
            </w:r>
          </w:p>
        </w:tc>
      </w:tr>
      <w:tr>
        <w:tc>
          <w:tcPr>
            <w:tcW w:type="dxa" w:w="4896"/>
            <w:shd w:val="clear" w:color="auto" w:fill="FFFFFF"/>
          </w:tcPr>
          <w:p>
            <w:pPr>
              <w:jc w:val="left"/>
            </w:pPr>
            <w:r>
              <w:rPr>
                <w:rFonts w:ascii="Calibri" w:hAnsi="Calibri"/>
                <w:b w:val="0"/>
                <w:i w:val="0"/>
                <w:sz w:val="18"/>
              </w:rPr>
              <w:t>Construction</w:t>
            </w:r>
          </w:p>
        </w:tc>
        <w:tc>
          <w:tcPr>
            <w:tcW w:type="dxa" w:w="4896"/>
            <w:shd w:val="clear" w:color="auto" w:fill="FFFFFF"/>
          </w:tcPr>
          <w:p>
            <w:pPr>
              <w:jc w:val="left"/>
            </w:pPr>
            <w:r>
              <w:rPr>
                <w:rFonts w:ascii="Calibri" w:hAnsi="Calibri"/>
                <w:b/>
                <w:i w:val="0"/>
                <w:color w:val="0B3D91"/>
                <w:sz w:val="18"/>
              </w:rPr>
              <w:t>New</w:t>
            </w:r>
          </w:p>
        </w:tc>
      </w:tr>
      <w:tr>
        <w:tc>
          <w:tcPr>
            <w:tcW w:type="dxa" w:w="4896"/>
            <w:shd w:val="clear" w:color="auto" w:fill="EFF9FC"/>
          </w:tcPr>
          <w:p>
            <w:pPr>
              <w:jc w:val="left"/>
            </w:pPr>
            <w:r>
              <w:rPr>
                <w:rFonts w:ascii="Calibri" w:hAnsi="Calibri"/>
                <w:b w:val="0"/>
                <w:i w:val="0"/>
                <w:sz w:val="18"/>
              </w:rPr>
              <w:t>Sprinkler protection</w:t>
            </w:r>
          </w:p>
        </w:tc>
        <w:tc>
          <w:tcPr>
            <w:tcW w:type="dxa" w:w="4896"/>
            <w:shd w:val="clear" w:color="auto" w:fill="EFF9FC"/>
          </w:tcPr>
          <w:p>
            <w:pPr>
              <w:jc w:val="left"/>
            </w:pPr>
            <w:r>
              <w:rPr>
                <w:rFonts w:ascii="Calibri" w:hAnsi="Calibri"/>
                <w:b/>
                <w:i w:val="0"/>
                <w:color w:val="0B3D91"/>
                <w:sz w:val="18"/>
              </w:rPr>
              <w:t>Throughout</w:t>
            </w:r>
          </w:p>
        </w:tc>
      </w:tr>
      <w:tr>
        <w:tc>
          <w:tcPr>
            <w:tcW w:type="dxa" w:w="4896"/>
            <w:shd w:val="clear" w:color="auto" w:fill="FFFFFF"/>
          </w:tcPr>
          <w:p>
            <w:pPr>
              <w:jc w:val="left"/>
            </w:pPr>
            <w:r>
              <w:rPr>
                <w:rFonts w:ascii="Calibri" w:hAnsi="Calibri"/>
                <w:b w:val="0"/>
                <w:i w:val="0"/>
                <w:sz w:val="18"/>
              </w:rPr>
              <w:t>Chapter applied</w:t>
            </w:r>
          </w:p>
        </w:tc>
        <w:tc>
          <w:tcPr>
            <w:tcW w:type="dxa" w:w="4896"/>
            <w:shd w:val="clear" w:color="auto" w:fill="FFFFFF"/>
          </w:tcPr>
          <w:p>
            <w:pPr>
              <w:jc w:val="left"/>
            </w:pPr>
            <w:r>
              <w:rPr>
                <w:rFonts w:ascii="Calibri" w:hAnsi="Calibri"/>
                <w:b/>
                <w:i w:val="0"/>
                <w:color w:val="0B3D91"/>
                <w:sz w:val="18"/>
              </w:rPr>
              <w:t>Ch 38</w:t>
            </w:r>
          </w:p>
        </w:tc>
      </w:tr>
      <w:tr>
        <w:tc>
          <w:tcPr>
            <w:tcW w:type="dxa" w:w="4896"/>
            <w:shd w:val="clear" w:color="auto" w:fill="EFF9FC"/>
          </w:tcPr>
          <w:p>
            <w:pPr>
              <w:jc w:val="left"/>
            </w:pPr>
            <w:r>
              <w:rPr>
                <w:rFonts w:ascii="Calibri" w:hAnsi="Calibri"/>
                <w:b w:val="0"/>
                <w:i w:val="0"/>
                <w:sz w:val="18"/>
              </w:rPr>
              <w:t>Egress capacity basis (Table 7.3.3.1)</w:t>
            </w:r>
          </w:p>
        </w:tc>
        <w:tc>
          <w:tcPr>
            <w:tcW w:type="dxa" w:w="4896"/>
            <w:shd w:val="clear" w:color="auto" w:fill="EFF9FC"/>
          </w:tcPr>
          <w:p>
            <w:pPr>
              <w:jc w:val="left"/>
            </w:pPr>
            <w:r>
              <w:rPr>
                <w:rFonts w:ascii="Calibri" w:hAnsi="Calibri"/>
                <w:b/>
                <w:i w:val="0"/>
                <w:color w:val="0B3D91"/>
                <w:sz w:val="18"/>
              </w:rPr>
              <w:t>All others — stairways 0.3 in/p (7.6 mm/p); level/ramps 0.2 in/p (5 mm/p)</w:t>
            </w:r>
          </w:p>
        </w:tc>
      </w:tr>
      <w:tr>
        <w:tc>
          <w:tcPr>
            <w:tcW w:type="dxa" w:w="4896"/>
            <w:shd w:val="clear" w:color="auto" w:fill="FFFFFF"/>
          </w:tcPr>
          <w:p>
            <w:pPr>
              <w:jc w:val="left"/>
            </w:pPr>
            <w:r>
              <w:rPr>
                <w:rFonts w:ascii="Calibri" w:hAnsi="Calibri"/>
                <w:b w:val="0"/>
                <w:i w:val="0"/>
                <w:sz w:val="18"/>
              </w:rPr>
              <w:t>Stories</w:t>
            </w:r>
          </w:p>
        </w:tc>
        <w:tc>
          <w:tcPr>
            <w:tcW w:type="dxa" w:w="4896"/>
            <w:shd w:val="clear" w:color="auto" w:fill="FFFFFF"/>
          </w:tcPr>
          <w:p>
            <w:pPr>
              <w:jc w:val="left"/>
            </w:pPr>
            <w:r>
              <w:rPr>
                <w:rFonts w:ascii="Calibri" w:hAnsi="Calibri"/>
                <w:b/>
                <w:i w:val="0"/>
                <w:color w:val="0B3D91"/>
                <w:sz w:val="18"/>
              </w:rPr>
              <w:t>2</w:t>
            </w:r>
          </w:p>
        </w:tc>
      </w:tr>
      <w:tr>
        <w:tc>
          <w:tcPr>
            <w:tcW w:type="dxa" w:w="4896"/>
            <w:shd w:val="clear" w:color="auto" w:fill="EFF9FC"/>
          </w:tcPr>
          <w:p>
            <w:pPr>
              <w:jc w:val="left"/>
            </w:pPr>
            <w:r>
              <w:rPr>
                <w:rFonts w:ascii="Calibri" w:hAnsi="Calibri"/>
                <w:b w:val="0"/>
                <w:i w:val="0"/>
                <w:sz w:val="18"/>
              </w:rPr>
              <w:t>Total spaces</w:t>
            </w:r>
          </w:p>
        </w:tc>
        <w:tc>
          <w:tcPr>
            <w:tcW w:type="dxa" w:w="4896"/>
            <w:shd w:val="clear" w:color="auto" w:fill="EFF9FC"/>
          </w:tcPr>
          <w:p>
            <w:pPr>
              <w:jc w:val="left"/>
            </w:pPr>
            <w:r>
              <w:rPr>
                <w:rFonts w:ascii="Calibri" w:hAnsi="Calibri"/>
                <w:b/>
                <w:i w:val="0"/>
                <w:color w:val="0B3D91"/>
                <w:sz w:val="18"/>
              </w:rPr>
              <w:t>9</w:t>
            </w:r>
          </w:p>
        </w:tc>
      </w:tr>
      <w:tr>
        <w:tc>
          <w:tcPr>
            <w:tcW w:type="dxa" w:w="4896"/>
            <w:shd w:val="clear" w:color="auto" w:fill="FFFFFF"/>
          </w:tcPr>
          <w:p>
            <w:pPr>
              <w:jc w:val="left"/>
            </w:pPr>
            <w:r>
              <w:rPr>
                <w:rFonts w:ascii="Calibri" w:hAnsi="Calibri"/>
                <w:b w:val="0"/>
                <w:i w:val="0"/>
                <w:sz w:val="18"/>
              </w:rPr>
              <w:t>Building total OL</w:t>
            </w:r>
          </w:p>
        </w:tc>
        <w:tc>
          <w:tcPr>
            <w:tcW w:type="dxa" w:w="4896"/>
            <w:shd w:val="clear" w:color="auto" w:fill="FFFFFF"/>
          </w:tcPr>
          <w:p>
            <w:pPr>
              <w:jc w:val="left"/>
            </w:pPr>
            <w:r>
              <w:rPr>
                <w:rFonts w:ascii="Calibri" w:hAnsi="Calibri"/>
                <w:b/>
                <w:i w:val="0"/>
                <w:color w:val="0B3D91"/>
                <w:sz w:val="18"/>
              </w:rPr>
              <w:t>2827 persons</w:t>
            </w:r>
          </w:p>
        </w:tc>
      </w:tr>
    </w:tbl>
    <w:p/>
    <w:p>
      <w:r>
        <w:rPr>
          <w:rFonts w:ascii="Calibri" w:hAnsi="Calibri"/>
          <w:b/>
          <w:color w:val="0A2540"/>
          <w:sz w:val="22"/>
        </w:rPr>
        <w:t>Step-by-step occupant-load calculation</w:t>
      </w:r>
    </w:p>
    <w:p>
      <w:r>
        <w:rPr>
          <w:rFonts w:ascii="Calibri" w:hAnsi="Calibri"/>
          <w:b/>
          <w:color w:val="0A2540"/>
          <w:sz w:val="22"/>
        </w:rPr>
        <w:t>Story: Ground Floor</w:t>
      </w:r>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  Entrance Lobby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420.00 m² / 14.00 m²/p = 30.00</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30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4.2:  Management Office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120.00 m² / 14.00 m²/p = 8.57</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9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4.3:  Lift Lobby / Corridor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110.00 m² / 14.00 m²/p = 7.86</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8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4.4:  Required egress capacity — stairways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W_stair = OL × C_stair</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W_stair = 47 × 7.6 mm/p = 357 mm; governed by #7.3.1.4 (an exit serving more than one story takes the largest capacity demanded) -&gt; 1,056 mm</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1,056 mm</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7.3.3.1 (Table 7.3.3.1 — "All others")</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4.5:  Required egress capacity — level components / ramps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W_level = OL × C_level</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W_level = 47 × 5 mm/p = 235 mm; governed by #7.3.1.4 (an exit serving more than one story takes the largest capacity demanded) -&gt; 695 mm</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695 mm</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7.3.3.1 (Table 7.3.3.1 — "All others")</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4.6:  Minimum number of means of egress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2 minimum (#7.4.1.1); 3 if 501-1000, 4 if &gt;1000 (#7.4.1.2)</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47 &lt;= 500  -&gt;  2 means of egress</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2 means of egress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7.4.1.1 / 7.4.1.2</w:t>
            </w:r>
          </w:p>
        </w:tc>
      </w:tr>
    </w:tbl>
    <w:p/>
    <w:p>
      <w:r>
        <w:rPr>
          <w:rFonts w:ascii="Calibri" w:hAnsi="Calibri"/>
          <w:b/>
          <w:color w:val="0A2540"/>
          <w:sz w:val="22"/>
        </w:rPr>
        <w:t>Story: L01-L20 (typical ×20)  —  per-floor OL: 139 • total across 20 floors: 2780</w:t>
      </w:r>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4.7:  Open Plan Office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820.00 m² / 14.00 m²/p = 58.57</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59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4.8:  Meeting Room 1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45.00 m² / 1.40 m²/p = 32.14 (Table 7.3.1.2 row applied: Collaboration rooms / spaces &gt; 450 ft² (41.8 m²))</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33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business_collab_large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4.9:  Meeting Room 2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45.00 m² / 1.40 m²/p = 32.14 (Table 7.3.1.2 row applied: Collaboration rooms / spaces &gt; 450 ft² (41.8 m²))</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33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business_collab_large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4.10:  Floor Reception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40.00 m² / 14.00 m²/p = 2.86</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3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4.11:  Pantry / Break Room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30.00 m² / 14.00 m²/p = 2.14</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3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4.12:  Lift Lobby / Corridor  (gross area / OLF)</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OL = A / OLF</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 110.00 m² / 14.00 m²/p = 7.86</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8 persons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Use: business_other • Section 7.3.1.2</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4.13:  Required egress capacity — stairways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W_stair = OL × C_stair</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W_stair = 139 × 7.6 mm/p = 1,056 mm</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1,056 mm</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7.3.3.1 (Table 7.3.3.1 — "All others")</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4.14:  Required egress capacity — level components / ramps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W_level = OL × C_level</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W_level = 139 × 5 mm/p = 695 mm</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695 mm</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7.3.3.1 (Table 7.3.3.1 — "All others")</w:t>
            </w:r>
          </w:p>
        </w:tc>
      </w:tr>
    </w:tbl>
    <w:p/>
    <w:tbl>
      <w:tblPr>
        <w:tblStyle w:val="TableGrid"/>
        <w:tblW w:type="auto" w:w="0"/>
        <w:tblLook w:firstColumn="1" w:firstRow="1" w:lastColumn="0" w:lastRow="0" w:noHBand="0" w:noVBand="1" w:val="04A0"/>
      </w:tblPr>
      <w:tblGrid>
        <w:gridCol w:w="9792"/>
      </w:tblGrid>
      <w:tr>
        <w:tc>
          <w:tcPr>
            <w:tcW w:type="dxa" w:w="9792"/>
            <w:shd w:val="clear" w:color="auto" w:fill="0A2540"/>
            <w:tcMar>
              <w:top w:w="80" w:type="dxa"/>
              <w:bottom w:w="80" w:type="dxa"/>
              <w:left w:w="80" w:type="dxa"/>
              <w:right w:w="80" w:type="dxa"/>
            </w:tcMar>
          </w:tcPr>
          <w:p>
            <w:r>
              <w:rPr>
                <w:rFonts w:ascii="Calibri" w:hAnsi="Calibri"/>
                <w:b/>
                <w:i w:val="0"/>
                <w:color w:val="FFFFFF"/>
                <w:sz w:val="20"/>
              </w:rPr>
              <w:t xml:space="preserve">  Step 4.15:  Minimum number of means of egress</w:t>
            </w:r>
          </w:p>
        </w:tc>
      </w:tr>
      <w:tr>
        <w:tc>
          <w:tcPr>
            <w:tcW w:type="dxa" w:w="9792"/>
            <w:shd w:val="clear" w:color="auto" w:fill="CCF0FA"/>
            <w:tcMar>
              <w:top w:w="80" w:type="dxa"/>
              <w:bottom w:w="80" w:type="dxa"/>
              <w:left w:w="80" w:type="dxa"/>
              <w:right w:w="80" w:type="dxa"/>
            </w:tcMar>
          </w:tcPr>
          <w:p>
            <w:r>
              <w:rPr>
                <w:rFonts w:ascii="Calibri" w:hAnsi="Calibri"/>
                <w:b w:val="0"/>
                <w:i/>
                <w:color w:val="0B3D91"/>
                <w:sz w:val="18"/>
              </w:rPr>
              <w:t xml:space="preserve">  Formula:        2 minimum (#7.4.1.1); 3 if 501-1000, 4 if &gt;1000 (#7.4.1.2)</w:t>
            </w:r>
          </w:p>
        </w:tc>
      </w:tr>
      <w:tr>
        <w:tc>
          <w:tcPr>
            <w:tcW w:type="dxa" w:w="9792"/>
            <w:shd w:val="clear" w:color="auto" w:fill="FFFFFF"/>
            <w:tcMar>
              <w:top w:w="80" w:type="dxa"/>
              <w:bottom w:w="80" w:type="dxa"/>
              <w:left w:w="80" w:type="dxa"/>
              <w:right w:w="80" w:type="dxa"/>
            </w:tcMar>
          </w:tcPr>
          <w:p>
            <w:r>
              <w:rPr>
                <w:rFonts w:ascii="Calibri" w:hAnsi="Calibri"/>
                <w:b w:val="0"/>
                <w:i w:val="0"/>
                <w:color w:val="374151"/>
                <w:sz w:val="18"/>
              </w:rPr>
              <w:t xml:space="preserve">  Substitution:  OL 139 &lt;= 500  -&gt;  2 means of egress</w:t>
            </w:r>
          </w:p>
        </w:tc>
      </w:tr>
      <w:tr>
        <w:tc>
          <w:tcPr>
            <w:tcW w:type="dxa" w:w="9792"/>
            <w:shd w:val="clear" w:color="auto" w:fill="E8F8FD"/>
            <w:tcMar>
              <w:top w:w="80" w:type="dxa"/>
              <w:bottom w:w="80" w:type="dxa"/>
              <w:left w:w="80" w:type="dxa"/>
              <w:right w:w="80" w:type="dxa"/>
            </w:tcMar>
          </w:tcPr>
          <w:p>
            <w:r>
              <w:rPr>
                <w:rFonts w:ascii="Calibri" w:hAnsi="Calibri"/>
                <w:b/>
                <w:i w:val="0"/>
                <w:color w:val="0A2540"/>
                <w:sz w:val="20"/>
              </w:rPr>
              <w:t xml:space="preserve">  Result:          2 means of egress</w:t>
            </w:r>
          </w:p>
        </w:tc>
      </w:tr>
      <w:tr>
        <w:tc>
          <w:tcPr>
            <w:tcW w:type="dxa" w:w="9792"/>
            <w:shd w:val="clear" w:color="auto" w:fill="FFF8E7"/>
            <w:tcMar>
              <w:top w:w="80" w:type="dxa"/>
              <w:bottom w:w="80" w:type="dxa"/>
              <w:left w:w="80" w:type="dxa"/>
              <w:right w:w="80" w:type="dxa"/>
            </w:tcMar>
          </w:tcPr>
          <w:p>
            <w:r>
              <w:rPr>
                <w:rFonts w:ascii="Calibri" w:hAnsi="Calibri"/>
                <w:b w:val="0"/>
                <w:i/>
                <w:color w:val="6B7280"/>
                <w:sz w:val="16"/>
              </w:rPr>
              <w:t xml:space="preserve">  Note: Section 7.4.1.1 / 7.4.1.2</w:t>
            </w:r>
          </w:p>
        </w:tc>
      </w:tr>
    </w:tbl>
    <w:p/>
    <w:tbl>
      <w:tblPr>
        <w:tblStyle w:val="TableGrid"/>
        <w:tblW w:type="auto" w:w="0"/>
        <w:tblLook w:firstColumn="1" w:firstRow="1" w:lastColumn="0" w:lastRow="0" w:noHBand="0" w:noVBand="1" w:val="04A0"/>
      </w:tblPr>
      <w:tblGrid>
        <w:gridCol w:w="9792"/>
      </w:tblGrid>
      <w:tr>
        <w:tc>
          <w:tcPr>
            <w:tcW w:type="dxa" w:w="9792"/>
            <w:shd w:val="clear" w:color="auto" w:fill="FFF4E5"/>
          </w:tcPr>
          <w:p>
            <w:pPr>
              <w:jc w:val="left"/>
            </w:pPr>
            <w:r>
              <w:rPr>
                <w:rFonts w:ascii="Calibri" w:hAnsi="Calibri"/>
                <w:b/>
                <w:i w:val="0"/>
                <w:color w:val="B45309"/>
                <w:sz w:val="20"/>
              </w:rPr>
              <w:t xml:space="preserve">  ⚠  Advisory</w:t>
            </w:r>
          </w:p>
        </w:tc>
      </w:tr>
      <w:tr>
        <w:tc>
          <w:tcPr>
            <w:tcW w:type="dxa" w:w="9792"/>
            <w:shd w:val="clear" w:color="auto" w:fill="FFF4E5"/>
          </w:tcPr>
          <w:p>
            <w:pPr>
              <w:jc w:val="left"/>
            </w:pPr>
            <w:r>
              <w:rPr>
                <w:rFonts w:ascii="Calibri" w:hAnsi="Calibri"/>
                <w:b w:val="0"/>
                <w:i w:val="0"/>
                <w:color w:val="B45309"/>
                <w:sz w:val="18"/>
              </w:rPr>
              <w:t xml:space="preserve">   • #7.3.1.4 proviso applied: the required egress capacity of an exit may not be decreased in the direction of egress travel, so the required width reported at Ground Floor has been raised to the largest width required by any story farther from the level of exit discharge (stories ordered by LEVEL). Each story's own per-floor requirement is retained in the calculation trace. This clamp assumes ONE exit serves the stories listed; where separate exits serve separate stories, review the per-floor values in the trace with the AHJ. Stories were ordered by their numeric LEVEL — Ground Floor (level 0) -&gt; L01-L20 (typical ×20) (level 1) — with level 0 the level of exit discharge (ground) and larger distances |level| farther from it (negative levels = basements; each side of the discharge is walked separately and the discharge level is raised by both). If a level shown is not this building's arrangement, edit the story's Level field in the tree and recalculate.</w:t>
            </w:r>
          </w:p>
        </w:tc>
      </w:tr>
    </w:tbl>
    <w:p/>
    <w:p>
      <w:r>
        <w:rPr>
          <w:rFonts w:ascii="Calibri" w:hAnsi="Calibri"/>
          <w:b/>
          <w:color w:val="0A2540"/>
          <w:sz w:val="22"/>
        </w:rPr>
        <w:t>Per-story summary</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Story</w:t>
            </w:r>
          </w:p>
        </w:tc>
        <w:tc>
          <w:tcPr>
            <w:tcW w:type="dxa" w:w="4896"/>
            <w:shd w:val="clear" w:color="auto" w:fill="0A2540"/>
          </w:tcPr>
          <w:p>
            <w:pPr>
              <w:jc w:val="center"/>
            </w:pPr>
            <w:r>
              <w:rPr>
                <w:rFonts w:ascii="Calibri" w:hAnsi="Calibri"/>
                <w:b/>
                <w:i w:val="0"/>
                <w:color w:val="FFFFFF"/>
                <w:sz w:val="18"/>
              </w:rPr>
              <w:t>Occupant load and egress</w:t>
            </w:r>
          </w:p>
        </w:tc>
      </w:tr>
      <w:tr>
        <w:tc>
          <w:tcPr>
            <w:tcW w:type="dxa" w:w="4896"/>
            <w:shd w:val="clear" w:color="auto" w:fill="EFF9FC"/>
          </w:tcPr>
          <w:p>
            <w:pPr>
              <w:jc w:val="left"/>
            </w:pPr>
            <w:r>
              <w:rPr>
                <w:rFonts w:ascii="Calibri" w:hAnsi="Calibri"/>
                <w:b w:val="0"/>
                <w:i w:val="0"/>
                <w:sz w:val="18"/>
              </w:rPr>
              <w:t>Ground Floor</w:t>
            </w:r>
          </w:p>
        </w:tc>
        <w:tc>
          <w:tcPr>
            <w:tcW w:type="dxa" w:w="4896"/>
            <w:shd w:val="clear" w:color="auto" w:fill="EFF9FC"/>
          </w:tcPr>
          <w:p>
            <w:pPr>
              <w:jc w:val="left"/>
            </w:pPr>
            <w:r>
              <w:rPr>
                <w:rFonts w:ascii="Calibri" w:hAnsi="Calibri"/>
                <w:b/>
                <w:i w:val="0"/>
                <w:color w:val="0B3D91"/>
                <w:sz w:val="18"/>
              </w:rPr>
              <w:t>OL: 47  •  Min exits: 2  •  Egress (stair / level per floor): 1,056 mm / 695 mm</w:t>
            </w:r>
          </w:p>
        </w:tc>
      </w:tr>
      <w:tr>
        <w:tc>
          <w:tcPr>
            <w:tcW w:type="dxa" w:w="4896"/>
            <w:shd w:val="clear" w:color="auto" w:fill="FFFFFF"/>
          </w:tcPr>
          <w:p>
            <w:pPr>
              <w:jc w:val="left"/>
            </w:pPr>
            <w:r>
              <w:rPr>
                <w:rFonts w:ascii="Calibri" w:hAnsi="Calibri"/>
                <w:b w:val="0"/>
                <w:i w:val="0"/>
                <w:sz w:val="18"/>
              </w:rPr>
              <w:t>L01-L20 (typical ×20)</w:t>
            </w:r>
          </w:p>
        </w:tc>
        <w:tc>
          <w:tcPr>
            <w:tcW w:type="dxa" w:w="4896"/>
            <w:shd w:val="clear" w:color="auto" w:fill="FFFFFF"/>
          </w:tcPr>
          <w:p>
            <w:pPr>
              <w:jc w:val="left"/>
            </w:pPr>
            <w:r>
              <w:rPr>
                <w:rFonts w:ascii="Calibri" w:hAnsi="Calibri"/>
                <w:b/>
                <w:i w:val="0"/>
                <w:color w:val="0B3D91"/>
                <w:sz w:val="18"/>
              </w:rPr>
              <w:t>OL: 2780 (139 × 20)  •  Min exits: 2  •  Egress (stair / level per floor): 1,056 mm / 695 mm</w:t>
            </w:r>
          </w:p>
        </w:tc>
      </w:tr>
    </w:tbl>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Parameter</w:t>
            </w:r>
          </w:p>
        </w:tc>
        <w:tc>
          <w:tcPr>
            <w:tcW w:type="dxa" w:w="4896"/>
            <w:shd w:val="clear" w:color="auto" w:fill="0A2540"/>
          </w:tcPr>
          <w:p>
            <w:pPr>
              <w:jc w:val="center"/>
            </w:pPr>
            <w:r>
              <w:rPr>
                <w:rFonts w:ascii="Calibri" w:hAnsi="Calibri"/>
                <w:b/>
                <w:i w:val="0"/>
                <w:color w:val="FFFFFF"/>
                <w:sz w:val="18"/>
              </w:rPr>
              <w:t>Value</w:t>
            </w:r>
          </w:p>
        </w:tc>
      </w:tr>
      <w:tr>
        <w:tc>
          <w:tcPr>
            <w:tcW w:type="dxa" w:w="4896"/>
            <w:shd w:val="clear" w:color="auto" w:fill="EFF9FC"/>
          </w:tcPr>
          <w:p>
            <w:pPr>
              <w:jc w:val="left"/>
            </w:pPr>
            <w:r>
              <w:rPr>
                <w:rFonts w:ascii="Calibri" w:hAnsi="Calibri"/>
                <w:b w:val="0"/>
                <w:i w:val="0"/>
                <w:sz w:val="18"/>
              </w:rPr>
              <w:t>Building total occupant load</w:t>
            </w:r>
          </w:p>
        </w:tc>
        <w:tc>
          <w:tcPr>
            <w:tcW w:type="dxa" w:w="4896"/>
            <w:shd w:val="clear" w:color="auto" w:fill="EFF9FC"/>
          </w:tcPr>
          <w:p>
            <w:pPr>
              <w:jc w:val="left"/>
            </w:pPr>
            <w:r>
              <w:rPr>
                <w:rFonts w:ascii="Calibri" w:hAnsi="Calibri"/>
                <w:b/>
                <w:i w:val="0"/>
                <w:color w:val="0B3D91"/>
                <w:sz w:val="18"/>
              </w:rPr>
              <w:t>2827 persons</w:t>
            </w:r>
          </w:p>
        </w:tc>
      </w:tr>
      <w:tr>
        <w:tc>
          <w:tcPr>
            <w:tcW w:type="dxa" w:w="4896"/>
            <w:shd w:val="clear" w:color="auto" w:fill="FFFFFF"/>
          </w:tcPr>
          <w:p>
            <w:pPr>
              <w:jc w:val="left"/>
            </w:pPr>
            <w:r>
              <w:rPr>
                <w:rFonts w:ascii="Calibri" w:hAnsi="Calibri"/>
                <w:b w:val="0"/>
                <w:i w:val="0"/>
                <w:sz w:val="18"/>
              </w:rPr>
              <w:t>Governing required stair / level width (largest of any story, #7.3.1.4)</w:t>
            </w:r>
          </w:p>
        </w:tc>
        <w:tc>
          <w:tcPr>
            <w:tcW w:type="dxa" w:w="4896"/>
            <w:shd w:val="clear" w:color="auto" w:fill="FFFFFF"/>
          </w:tcPr>
          <w:p>
            <w:pPr>
              <w:jc w:val="left"/>
            </w:pPr>
            <w:r>
              <w:rPr>
                <w:rFonts w:ascii="Calibri" w:hAnsi="Calibri"/>
                <w:b/>
                <w:i w:val="0"/>
                <w:color w:val="0B3D91"/>
                <w:sz w:val="18"/>
              </w:rPr>
              <w:t>1,056 mm / 695 mm</w:t>
            </w:r>
          </w:p>
        </w:tc>
      </w:tr>
      <w:tr>
        <w:tc>
          <w:tcPr>
            <w:tcW w:type="dxa" w:w="4896"/>
            <w:shd w:val="clear" w:color="auto" w:fill="EFF9FC"/>
          </w:tcPr>
          <w:p>
            <w:pPr>
              <w:jc w:val="left"/>
            </w:pPr>
            <w:r>
              <w:rPr>
                <w:rFonts w:ascii="Calibri" w:hAnsi="Calibri"/>
                <w:b w:val="0"/>
                <w:i w:val="0"/>
                <w:sz w:val="18"/>
              </w:rPr>
              <w:t>Max min-exits required (any story)</w:t>
            </w:r>
          </w:p>
        </w:tc>
        <w:tc>
          <w:tcPr>
            <w:tcW w:type="dxa" w:w="4896"/>
            <w:shd w:val="clear" w:color="auto" w:fill="EFF9FC"/>
          </w:tcPr>
          <w:p>
            <w:pPr>
              <w:jc w:val="left"/>
            </w:pPr>
            <w:r>
              <w:rPr>
                <w:rFonts w:ascii="Calibri" w:hAnsi="Calibri"/>
                <w:b/>
                <w:i w:val="0"/>
                <w:color w:val="0B3D91"/>
                <w:sz w:val="18"/>
              </w:rPr>
              <w:t>2</w:t>
            </w:r>
          </w:p>
        </w:tc>
      </w:tr>
    </w:tbl>
    <w:p/>
    <w:p>
      <w:r>
        <w:rPr>
          <w:rFonts w:ascii="Calibri" w:hAnsi="Calibri"/>
          <w:b/>
          <w:color w:val="0A2540"/>
          <w:sz w:val="22"/>
        </w:rPr>
        <w:t>Chapter 38 rules (reference)</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Rule</w:t>
            </w:r>
          </w:p>
        </w:tc>
        <w:tc>
          <w:tcPr>
            <w:tcW w:type="dxa" w:w="4896"/>
            <w:shd w:val="clear" w:color="auto" w:fill="0A2540"/>
          </w:tcPr>
          <w:p>
            <w:pPr>
              <w:jc w:val="center"/>
            </w:pPr>
            <w:r>
              <w:rPr>
                <w:rFonts w:ascii="Calibri" w:hAnsi="Calibri"/>
                <w:b/>
                <w:i w:val="0"/>
                <w:color w:val="FFFFFF"/>
                <w:sz w:val="18"/>
              </w:rPr>
              <w:t>Value (per NFPA 101-2024)</w:t>
            </w:r>
          </w:p>
        </w:tc>
      </w:tr>
      <w:tr>
        <w:tc>
          <w:tcPr>
            <w:tcW w:type="dxa" w:w="4896"/>
            <w:shd w:val="clear" w:color="auto" w:fill="EFF9FC"/>
          </w:tcPr>
          <w:p>
            <w:pPr>
              <w:jc w:val="left"/>
            </w:pPr>
            <w:r>
              <w:rPr>
                <w:rFonts w:ascii="Calibri" w:hAnsi="Calibri"/>
                <w:b w:val="0"/>
                <w:i w:val="0"/>
                <w:sz w:val="18"/>
              </w:rPr>
              <w:t>Common path of travel</w:t>
            </w:r>
          </w:p>
        </w:tc>
        <w:tc>
          <w:tcPr>
            <w:tcW w:type="dxa" w:w="4896"/>
            <w:shd w:val="clear" w:color="auto" w:fill="EFF9FC"/>
          </w:tcPr>
          <w:p>
            <w:pPr>
              <w:jc w:val="left"/>
            </w:pPr>
            <w:r>
              <w:rPr>
                <w:rFonts w:ascii="Calibri" w:hAnsi="Calibri"/>
                <w:b/>
                <w:i w:val="0"/>
                <w:color w:val="0B3D91"/>
                <w:sz w:val="18"/>
              </w:rPr>
              <w:t>30 m (100 ft)    [38.2.5.2.1]</w:t>
            </w:r>
          </w:p>
        </w:tc>
      </w:tr>
      <w:tr>
        <w:tc>
          <w:tcPr>
            <w:tcW w:type="dxa" w:w="4896"/>
            <w:shd w:val="clear" w:color="auto" w:fill="FFFFFF"/>
          </w:tcPr>
          <w:p>
            <w:pPr>
              <w:jc w:val="left"/>
            </w:pPr>
            <w:r>
              <w:rPr>
                <w:rFonts w:ascii="Calibri" w:hAnsi="Calibri"/>
                <w:b w:val="0"/>
                <w:i w:val="0"/>
                <w:sz w:val="18"/>
              </w:rPr>
              <w:t>Dead-end corridor</w:t>
            </w:r>
          </w:p>
        </w:tc>
        <w:tc>
          <w:tcPr>
            <w:tcW w:type="dxa" w:w="4896"/>
            <w:shd w:val="clear" w:color="auto" w:fill="FFFFFF"/>
          </w:tcPr>
          <w:p>
            <w:pPr>
              <w:jc w:val="left"/>
            </w:pPr>
            <w:r>
              <w:rPr>
                <w:rFonts w:ascii="Calibri" w:hAnsi="Calibri"/>
                <w:b/>
                <w:i w:val="0"/>
                <w:color w:val="0B3D91"/>
                <w:sz w:val="18"/>
              </w:rPr>
              <w:t>15 m (50 ft)    [38.2.5.3.1]</w:t>
            </w:r>
          </w:p>
        </w:tc>
      </w:tr>
      <w:tr>
        <w:tc>
          <w:tcPr>
            <w:tcW w:type="dxa" w:w="4896"/>
            <w:shd w:val="clear" w:color="auto" w:fill="EFF9FC"/>
          </w:tcPr>
          <w:p>
            <w:pPr>
              <w:jc w:val="left"/>
            </w:pPr>
            <w:r>
              <w:rPr>
                <w:rFonts w:ascii="Calibri" w:hAnsi="Calibri"/>
                <w:b w:val="0"/>
                <w:i w:val="0"/>
                <w:sz w:val="18"/>
              </w:rPr>
              <w:t>Travel distance to exit</w:t>
            </w:r>
          </w:p>
        </w:tc>
        <w:tc>
          <w:tcPr>
            <w:tcW w:type="dxa" w:w="4896"/>
            <w:shd w:val="clear" w:color="auto" w:fill="EFF9FC"/>
          </w:tcPr>
          <w:p>
            <w:pPr>
              <w:jc w:val="left"/>
            </w:pPr>
            <w:r>
              <w:rPr>
                <w:rFonts w:ascii="Calibri" w:hAnsi="Calibri"/>
                <w:b/>
                <w:i w:val="0"/>
                <w:color w:val="0B3D91"/>
                <w:sz w:val="18"/>
              </w:rPr>
              <w:t>91 m (300 ft)    [38.2.6.3]</w:t>
            </w:r>
          </w:p>
        </w:tc>
      </w:tr>
      <w:tr>
        <w:tc>
          <w:tcPr>
            <w:tcW w:type="dxa" w:w="4896"/>
            <w:shd w:val="clear" w:color="auto" w:fill="FFFFFF"/>
          </w:tcPr>
          <w:p>
            <w:pPr>
              <w:jc w:val="left"/>
            </w:pPr>
            <w:r>
              <w:rPr>
                <w:rFonts w:ascii="Calibri" w:hAnsi="Calibri"/>
                <w:b w:val="0"/>
                <w:i w:val="0"/>
                <w:sz w:val="18"/>
              </w:rPr>
              <w:t>Min corridor width</w:t>
            </w:r>
          </w:p>
        </w:tc>
        <w:tc>
          <w:tcPr>
            <w:tcW w:type="dxa" w:w="4896"/>
            <w:shd w:val="clear" w:color="auto" w:fill="FFFFFF"/>
          </w:tcPr>
          <w:p>
            <w:pPr>
              <w:jc w:val="left"/>
            </w:pPr>
            <w:r>
              <w:rPr>
                <w:rFonts w:ascii="Calibri" w:hAnsi="Calibri"/>
                <w:b/>
                <w:i w:val="0"/>
                <w:color w:val="0B3D91"/>
                <w:sz w:val="18"/>
              </w:rPr>
              <w:t>1120 mm (44 in) — serving an occupant load of 50 or more    [38.2.3.2]</w:t>
            </w:r>
          </w:p>
        </w:tc>
      </w:tr>
    </w:tbl>
    <w:p/>
    <w:p>
      <w:r>
        <w:rPr>
          <w:rFonts w:ascii="Calibri" w:hAnsi="Calibri"/>
          <w:b/>
          <w:color w:val="0A2540"/>
          <w:sz w:val="22"/>
        </w:rPr>
        <w:t>Triggered Code Requirements (occupant-load thresholds)</w:t>
      </w:r>
    </w:p>
    <w:tbl>
      <w:tblPr>
        <w:tblStyle w:val="TableGrid"/>
        <w:tblW w:type="auto" w:w="0"/>
        <w:tblLook w:firstColumn="1" w:firstRow="1" w:lastColumn="0" w:lastRow="0" w:noHBand="0" w:noVBand="1" w:val="04A0"/>
      </w:tblPr>
      <w:tblGrid>
        <w:gridCol w:w="4896"/>
        <w:gridCol w:w="4896"/>
      </w:tblGrid>
      <w:tr>
        <w:tc>
          <w:tcPr>
            <w:tcW w:type="dxa" w:w="4896"/>
            <w:shd w:val="clear" w:color="auto" w:fill="0A2540"/>
          </w:tcPr>
          <w:p>
            <w:pPr>
              <w:jc w:val="center"/>
            </w:pPr>
            <w:r>
              <w:rPr>
                <w:rFonts w:ascii="Calibri" w:hAnsi="Calibri"/>
                <w:b/>
                <w:i w:val="0"/>
                <w:color w:val="FFFFFF"/>
                <w:sz w:val="18"/>
              </w:rPr>
              <w:t>Triggered requirement</w:t>
            </w:r>
          </w:p>
        </w:tc>
        <w:tc>
          <w:tcPr>
            <w:tcW w:type="dxa" w:w="4896"/>
            <w:shd w:val="clear" w:color="auto" w:fill="0A2540"/>
          </w:tcPr>
          <w:p>
            <w:pPr>
              <w:jc w:val="center"/>
            </w:pPr>
            <w:r>
              <w:rPr>
                <w:rFonts w:ascii="Calibri" w:hAnsi="Calibri"/>
                <w:b/>
                <w:i w:val="0"/>
                <w:color w:val="FFFFFF"/>
                <w:sz w:val="18"/>
              </w:rPr>
              <w:t>What the code requires</w:t>
            </w:r>
          </w:p>
        </w:tc>
      </w:tr>
      <w:tr>
        <w:tc>
          <w:tcPr>
            <w:tcW w:type="dxa" w:w="4896"/>
            <w:shd w:val="clear" w:color="auto" w:fill="EFF9FC"/>
          </w:tcPr>
          <w:p>
            <w:pPr>
              <w:jc w:val="left"/>
            </w:pPr>
            <w:r>
              <w:rPr>
                <w:rFonts w:ascii="Calibri" w:hAnsi="Calibri"/>
                <w:b w:val="0"/>
                <w:i w:val="0"/>
                <w:sz w:val="18"/>
              </w:rPr>
              <w:t>Building — Emergency lighting required  [38.2.9.1]</w:t>
            </w:r>
          </w:p>
        </w:tc>
        <w:tc>
          <w:tcPr>
            <w:tcW w:type="dxa" w:w="4896"/>
            <w:shd w:val="clear" w:color="auto" w:fill="EFF9FC"/>
          </w:tcPr>
          <w:p>
            <w:pPr>
              <w:jc w:val="left"/>
            </w:pPr>
            <w:r>
              <w:rPr>
                <w:rFonts w:ascii="Calibri" w:hAnsi="Calibri"/>
                <w:b/>
                <w:i w:val="0"/>
                <w:color w:val="0B3D91"/>
                <w:sz w:val="18"/>
              </w:rPr>
              <w:t>New business occupancies must have emergency lighting per Section 7.9 where ANY ONE of the following printed conditions exists: (1) the building is three or more stories in height (counted per # 4.6.3 from the level of exit discharge, level 0, to the highest occupiable story; basements are not counted); (2) the occupancy is subject to 50 or more occupants above or below the level of exit discharge; (3) the occupancy is subject to 300 or more total occupants.  Triggered by: (3) the occupancy is subject to 300 or more total occupants; (1) the building is three or more stories in height (# 4.6.3); (2) the occupancy is subject to 50 or more occupants above or below the level of exit discharge.</w:t>
            </w:r>
          </w:p>
        </w:tc>
      </w:tr>
      <w:tr>
        <w:tc>
          <w:tcPr>
            <w:tcW w:type="dxa" w:w="4896"/>
            <w:shd w:val="clear" w:color="auto" w:fill="FFFFFF"/>
          </w:tcPr>
          <w:p>
            <w:pPr>
              <w:jc w:val="left"/>
            </w:pPr>
            <w:r>
              <w:rPr>
                <w:rFonts w:ascii="Calibri" w:hAnsi="Calibri"/>
                <w:b w:val="0"/>
                <w:i w:val="0"/>
                <w:sz w:val="18"/>
              </w:rPr>
              <w:t>Building — Fire alarm system required  [38.3.4.1]</w:t>
            </w:r>
          </w:p>
        </w:tc>
        <w:tc>
          <w:tcPr>
            <w:tcW w:type="dxa" w:w="4896"/>
            <w:shd w:val="clear" w:color="auto" w:fill="FFFFFF"/>
          </w:tcPr>
          <w:p>
            <w:pPr>
              <w:jc w:val="left"/>
            </w:pPr>
            <w:r>
              <w:rPr>
                <w:rFonts w:ascii="Calibri" w:hAnsi="Calibri"/>
                <w:b/>
                <w:i w:val="0"/>
                <w:color w:val="0B3D91"/>
                <w:sz w:val="18"/>
              </w:rPr>
              <w:t>New business occupancies must have a fire alarm system per Section 9.6 where ANY ONE of the following printed conditions exists: (1) the building is three or more stories in height (counted per # 4.6.3 from the level of exit discharge, level 0, to the highest occupiable story; basements are not counted); (2) the occupancy is subject to 50 or more occupants above or below the level of exit discharge; (3) the occupancy is subject to 300 or more total occupants.  Triggered by: (3) the occupancy is subject to 300 or more total occupants; (1) the building is three or more stories in height (# 4.6.3); (2) the occupancy is subject to 50 or more occupants above or below the level of exit discharge.</w:t>
            </w:r>
          </w:p>
        </w:tc>
      </w:tr>
      <w:tr>
        <w:tc>
          <w:tcPr>
            <w:tcW w:type="dxa" w:w="4896"/>
            <w:shd w:val="clear" w:color="auto" w:fill="EFF9FC"/>
          </w:tcPr>
          <w:p>
            <w:pPr>
              <w:jc w:val="left"/>
            </w:pPr>
            <w:r>
              <w:rPr>
                <w:rFonts w:ascii="Calibri" w:hAnsi="Calibri"/>
                <w:b w:val="0"/>
                <w:i w:val="0"/>
                <w:sz w:val="18"/>
              </w:rPr>
              <w:t>Building — Employee evacuation drills  [38.7.2 (new) / 39.7.2 (existing)]</w:t>
            </w:r>
          </w:p>
        </w:tc>
        <w:tc>
          <w:tcPr>
            <w:tcW w:type="dxa" w:w="4896"/>
            <w:shd w:val="clear" w:color="auto" w:fill="EFF9FC"/>
          </w:tcPr>
          <w:p>
            <w:pPr>
              <w:jc w:val="left"/>
            </w:pPr>
            <w:r>
              <w:rPr>
                <w:rFonts w:ascii="Calibri" w:hAnsi="Calibri"/>
                <w:b/>
                <w:i w:val="0"/>
                <w:color w:val="0B3D91"/>
                <w:sz w:val="18"/>
              </w:rPr>
              <w:t>Business occupancy buildings occupied by more than 500 persons, or by more than 100 persons above or below the street level (taken as the level of exit discharge, level 0), require periodic employee instruction per Section 4.7 and drills where practicable.  Triggered by: occupied by more than 500 persons; more than 100 persons above or below the street level (taken as the level of exit discharge, level 0).</w:t>
            </w:r>
          </w:p>
        </w:tc>
      </w:tr>
      <w:tr>
        <w:tc>
          <w:tcPr>
            <w:tcW w:type="dxa" w:w="4896"/>
            <w:shd w:val="clear" w:color="auto" w:fill="FFFFFF"/>
          </w:tcPr>
          <w:p>
            <w:pPr>
              <w:jc w:val="left"/>
            </w:pPr>
            <w:r>
              <w:rPr>
                <w:rFonts w:ascii="Calibri" w:hAnsi="Calibri"/>
                <w:b w:val="0"/>
                <w:i w:val="0"/>
                <w:sz w:val="18"/>
              </w:rPr>
              <w:t>Space 'Open Plan Office' — Door leaf swing direction  [7.2.1.4.2(1)]</w:t>
            </w:r>
          </w:p>
        </w:tc>
        <w:tc>
          <w:tcPr>
            <w:tcW w:type="dxa" w:w="4896"/>
            <w:shd w:val="clear" w:color="auto" w:fill="FFFFFF"/>
          </w:tcPr>
          <w:p>
            <w:pPr>
              <w:jc w:val="left"/>
            </w:pPr>
            <w:r>
              <w:rPr>
                <w:rFonts w:ascii="Calibri" w:hAnsi="Calibri"/>
                <w:b/>
                <w:i w:val="0"/>
                <w:color w:val="0B3D91"/>
                <w:sz w:val="18"/>
              </w:rPr>
              <w:t>Side-hinged or pivoted-swinging door leaves serving this room/area must swing in the direction of egress travel (horizontal-exit and existing-health-care smoke-barrier exceptions aside).</w:t>
            </w:r>
          </w:p>
        </w:tc>
      </w:tr>
    </w:tbl>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NFPA 101-2024 #6.1.14</w:t>
      </w:r>
      <w:r>
        <w:rPr>
          <w:rFonts w:ascii="Calibri" w:hAnsi="Calibri"/>
          <w:color w:val="374151"/>
          <w:sz w:val="18"/>
        </w:rPr>
        <w:t xml:space="preserve"> — Multiple occupancies (#6.1.14.1): mixed (#6.1.14.3) — the building complies with the most restrictive requirements of the occupancies involved (#6.1.14.3.2) — or separated (#6.1.14.4) — each separated portion complies with its own occupancy (#6.1.14.4.5). This tool applies ONE class per Building (the engineer's declared classification; incidental areas per #6.1.14.1.3) and does NOT take the most-restrictive envelope.</w:t>
      </w:r>
    </w:p>
    <w:p>
      <w:pPr>
        <w:pStyle w:val="ListBullet"/>
      </w:pPr>
      <w:r>
        <w:rPr>
          <w:rFonts w:ascii="Calibri" w:hAnsi="Calibri"/>
          <w:b/>
          <w:color w:val="0A2540"/>
          <w:sz w:val="18"/>
        </w:rPr>
        <w:t>NFPA 101-2024 #7.3.1.2 Table 7.3.1.2</w:t>
      </w:r>
      <w:r>
        <w:rPr>
          <w:rFonts w:ascii="Calibri" w:hAnsi="Calibri"/>
          <w:color w:val="374151"/>
          <w:sz w:val="18"/>
        </w:rPr>
        <w:t xml:space="preserve"> — Occupant Load Factor (per-use area densities).</w:t>
      </w:r>
    </w:p>
    <w:p>
      <w:pPr>
        <w:pStyle w:val="ListBullet"/>
      </w:pPr>
      <w:r>
        <w:rPr>
          <w:rFonts w:ascii="Calibri" w:hAnsi="Calibri"/>
          <w:b/>
          <w:color w:val="0A2540"/>
          <w:sz w:val="18"/>
        </w:rPr>
        <w:t>NFPA 101-2024 #7.3.1.3</w:t>
      </w:r>
      <w:r>
        <w:rPr>
          <w:rFonts w:ascii="Calibri" w:hAnsi="Calibri"/>
          <w:color w:val="374151"/>
          <w:sz w:val="18"/>
        </w:rPr>
        <w:t xml:space="preserve"> — Occupant load increases (engineer-applied k &gt;= 1.0), applied to the established whole-person load and rounded up: OL' = ceil(OL x k).</w:t>
      </w:r>
    </w:p>
    <w:p>
      <w:pPr>
        <w:pStyle w:val="ListBullet"/>
      </w:pPr>
      <w:r>
        <w:rPr>
          <w:rFonts w:ascii="Calibri" w:hAnsi="Calibri"/>
          <w:b/>
          <w:color w:val="0A2540"/>
          <w:sz w:val="18"/>
        </w:rPr>
        <w:t>NFPA 101-2024 #7.3.1.4</w:t>
      </w:r>
      <w:r>
        <w:rPr>
          <w:rFonts w:ascii="Calibri" w:hAnsi="Calibri"/>
          <w:color w:val="374151"/>
          <w:sz w:val="18"/>
        </w:rPr>
        <w:t xml:space="preserve"> — Exits serving more than one story — per-floor sizing, PROVIDED THAT the required egress capacity of the exit is not decreased in the direction of egress travel.</w:t>
      </w:r>
    </w:p>
    <w:p>
      <w:pPr>
        <w:pStyle w:val="ListBullet"/>
      </w:pPr>
      <w:r>
        <w:rPr>
          <w:rFonts w:ascii="Calibri" w:hAnsi="Calibri"/>
          <w:b/>
          <w:color w:val="0A2540"/>
          <w:sz w:val="18"/>
        </w:rPr>
        <w:t>NFPA 101-2024 #7.4.1.4</w:t>
      </w:r>
      <w:r>
        <w:rPr>
          <w:rFonts w:ascii="Calibri" w:hAnsi="Calibri"/>
          <w:color w:val="374151"/>
          <w:sz w:val="18"/>
        </w:rPr>
        <w:t xml:space="preserve"> — Number of means of egress computed on each story individually, PROVIDED THAT the required number is not decreased in the direction of egress travel (count twin of #7.3.1.4).</w:t>
      </w:r>
    </w:p>
    <w:p>
      <w:pPr>
        <w:pStyle w:val="ListBullet"/>
      </w:pPr>
      <w:r>
        <w:rPr>
          <w:rFonts w:ascii="Calibri" w:hAnsi="Calibri"/>
          <w:b/>
          <w:color w:val="0A2540"/>
          <w:sz w:val="18"/>
        </w:rPr>
        <w:t>NFPA 101-2024 #7.3.1.5</w:t>
      </w:r>
      <w:r>
        <w:rPr>
          <w:rFonts w:ascii="Calibri" w:hAnsi="Calibri"/>
          <w:color w:val="374151"/>
          <w:sz w:val="18"/>
        </w:rPr>
        <w:t xml:space="preserve"> — Capacity from a point of convergence — where means of egress from a story above and a story below converge at an intermediate story, not less than the sum of the required capacity of the two.</w:t>
      </w:r>
    </w:p>
    <w:p>
      <w:pPr>
        <w:pStyle w:val="ListBullet"/>
      </w:pPr>
      <w:r>
        <w:rPr>
          <w:rFonts w:ascii="Calibri" w:hAnsi="Calibri"/>
          <w:b/>
          <w:color w:val="0A2540"/>
          <w:sz w:val="18"/>
        </w:rPr>
        <w:t>NFPA 101-2024 #7.3.3.1 Table 7.3.3.1</w:t>
      </w:r>
      <w:r>
        <w:rPr>
          <w:rFonts w:ascii="Calibri" w:hAnsi="Calibri"/>
          <w:color w:val="374151"/>
          <w:sz w:val="18"/>
        </w:rPr>
        <w:t xml:space="preserve"> — Egress capacity factors (stairways and level components / ramps), unless otherwise provided in #7.3.3.2 (wide-stairway capacity increase — permitted, and not taken by this report).</w:t>
      </w:r>
    </w:p>
    <w:p>
      <w:pPr>
        <w:pStyle w:val="ListBullet"/>
      </w:pPr>
      <w:r>
        <w:rPr>
          <w:rFonts w:ascii="Calibri" w:hAnsi="Calibri"/>
          <w:b/>
          <w:color w:val="0A2540"/>
          <w:sz w:val="18"/>
        </w:rPr>
        <w:t>NFPA 101-2024 #7.4.1.1 / #7.4.1.2</w:t>
      </w:r>
      <w:r>
        <w:rPr>
          <w:rFonts w:ascii="Calibri" w:hAnsi="Calibri"/>
          <w:color w:val="374151"/>
          <w:sz w:val="18"/>
        </w:rPr>
        <w:t xml:space="preserve"> — Minimum number of means of egress: not less than two (#7.4.1.1); not less than 3 for OL 501-1000 and not less than 4 for OL &gt; 1000 (#7.4.1.2).</w:t>
      </w:r>
    </w:p>
    <w:p>
      <w:pPr>
        <w:pStyle w:val="ListBullet"/>
      </w:pPr>
      <w:r>
        <w:rPr>
          <w:rFonts w:ascii="Calibri" w:hAnsi="Calibri"/>
          <w:b/>
          <w:color w:val="0A2540"/>
          <w:sz w:val="18"/>
        </w:rPr>
        <w:t>NFPA 101-2024 Chapters 11-43</w:t>
      </w:r>
      <w:r>
        <w:rPr>
          <w:rFonts w:ascii="Calibri" w:hAnsi="Calibri"/>
          <w:color w:val="374151"/>
          <w:sz w:val="18"/>
        </w:rPr>
        <w:t xml:space="preserve"> — Per-occupancy chapter rules: travel distance, common path, dead-end corridor, minimum corridor / aisle widths.</w:t>
      </w:r>
    </w:p>
    <w:p>
      <w:r>
        <w:rPr>
          <w:rFonts w:ascii="Calibri" w:hAnsi="Calibri"/>
          <w:i/>
          <w:color w:val="6B7280"/>
          <w:sz w:val="16"/>
        </w:rPr>
        <w:t>Engineer of record: Hussein Ragab</w:t>
      </w:r>
    </w:p>
    <w:p>
      <w:r>
        <w:rPr>
          <w:rFonts w:ascii="Calibri" w:hAnsi="Calibri"/>
          <w:i/>
          <w:color w:val="6B7280"/>
          <w:sz w:val="16"/>
        </w:rPr>
        <w:t>Generated by Occupancy Calculator (NFPA 101-2024).</w:t>
      </w:r>
    </w:p>
    <w:sectPr w:rsidR="00FC693F" w:rsidRPr="0006063C" w:rsidSect="00034616">
      <w:footerReference w:type="default" r:id="rId9"/>
      <w:pgSz w:w="12240" w:h="15840"/>
      <w:pgMar w:top="1296" w:right="1224" w:bottom="129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