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type="auto" w:w="0"/>
        <w:tblLook w:firstColumn="1" w:firstRow="1" w:lastColumn="0" w:lastRow="0" w:noHBand="0" w:noVBand="1" w:val="04A0"/>
      </w:tblPr>
      <w:tblGrid>
        <w:gridCol w:w="9360"/>
      </w:tblGrid>
      <w:tr>
        <w:tc>
          <w:tcPr>
            <w:tcW w:type="dxa" w:w="9360"/>
            <w:shd w:val="clear" w:color="auto" w:fill="0A2540"/>
          </w:tcPr>
          <w:p>
            <w:pPr>
              <w:jc w:val="center"/>
            </w:pPr>
            <w:r>
              <w:rPr>
                <w:rFonts w:ascii="Calibri" w:hAnsi="Calibri"/>
                <w:b/>
                <w:color w:val="FFFFFF"/>
                <w:sz w:val="40"/>
              </w:rPr>
              <w:t>Swimming Pool Load Simulation Report</w:t>
            </w:r>
          </w:p>
        </w:tc>
      </w:tr>
      <w:tr>
        <w:tc>
          <w:tcPr>
            <w:tcW w:type="dxa" w:w="9360"/>
            <w:shd w:val="clear" w:color="auto" w:fill="0D4F6B"/>
          </w:tcPr>
          <w:p>
            <w:pPr>
              <w:jc w:val="center"/>
            </w:pPr>
            <w:r>
              <w:rPr>
                <w:rFonts w:ascii="Calibri" w:hAnsi="Calibri"/>
                <w:b w:val="0"/>
                <w:color w:val="FFFFFF"/>
                <w:sz w:val="24"/>
              </w:rPr>
              <w:t>Outdoor Pool Thermal Analysis</w:t>
            </w:r>
          </w:p>
        </w:tc>
      </w:tr>
      <w:tr>
        <w:tc>
          <w:tcPr>
            <w:tcW w:type="dxa" w:w="9360"/>
            <w:shd w:val="clear" w:color="auto" w:fill="1A3A5C"/>
          </w:tcPr>
          <w:p>
            <w:pPr>
              <w:jc w:val="center"/>
            </w:pPr>
            <w:r>
              <w:rPr>
                <w:rFonts w:ascii="Calibri" w:hAnsi="Calibri"/>
                <w:b w:val="0"/>
                <w:color w:val="CCF0FA"/>
                <w:sz w:val="20"/>
              </w:rPr>
              <w:t>Open-Meteo Weather Data</w:t>
            </w:r>
          </w:p>
        </w:tc>
      </w:tr>
    </w:tbl>
    <w:p/>
    <w:tbl>
      <w:tblPr>
        <w:tblStyle w:val="TableGrid"/>
        <w:tblW w:type="auto" w:w="0"/>
        <w:tblLook w:firstColumn="1" w:firstRow="1" w:lastColumn="0" w:lastRow="0" w:noHBand="0" w:noVBand="1" w:val="04A0"/>
      </w:tblPr>
      <w:tblGrid>
        <w:gridCol w:w="4680"/>
        <w:gridCol w:w="4680"/>
      </w:tblGrid>
      <w:tr>
        <w:tc>
          <w:tcPr>
            <w:tcW w:type="dxa" w:w="9360"/>
            <w:gridSpan w:val="2"/>
            <w:shd w:val="clear" w:color="auto" w:fill="0A2540"/>
          </w:tcPr>
          <w:p>
            <w:pPr>
              <w:jc w:val="center"/>
            </w:pPr>
            <w:r>
              <w:rPr>
                <w:rFonts w:ascii="Calibri" w:hAnsi="Calibri"/>
                <w:b/>
                <w:i w:val="0"/>
                <w:color w:val="FFFFFF"/>
                <w:sz w:val="20"/>
              </w:rPr>
              <w:t>Project Information</w:t>
            </w:r>
          </w:p>
        </w:tc>
      </w:tr>
      <w:tr>
        <w:tc>
          <w:tcPr>
            <w:tcW w:type="dxa" w:w="4680"/>
            <w:shd w:val="clear" w:color="auto" w:fill="EFF9FC"/>
          </w:tcPr>
          <w:p>
            <w:pPr>
              <w:jc w:val="left"/>
            </w:pPr>
            <w:r>
              <w:rPr>
                <w:rFonts w:ascii="Calibri" w:hAnsi="Calibri"/>
                <w:b/>
                <w:i w:val="0"/>
                <w:sz w:val="18"/>
              </w:rPr>
              <w:t>Project Name</w:t>
            </w:r>
          </w:p>
        </w:tc>
        <w:tc>
          <w:tcPr>
            <w:tcW w:type="dxa" w:w="4680"/>
            <w:shd w:val="clear" w:color="auto" w:fill="EFF9FC"/>
          </w:tcPr>
          <w:p>
            <w:pPr>
              <w:jc w:val="left"/>
            </w:pPr>
            <w:r>
              <w:rPr>
                <w:rFonts w:ascii="Calibri" w:hAnsi="Calibri"/>
                <w:b w:val="0"/>
                <w:i w:val="0"/>
                <w:color w:val="0B3D91"/>
                <w:sz w:val="18"/>
              </w:rPr>
              <w:t>Marina Commercial Tower</w:t>
            </w:r>
          </w:p>
        </w:tc>
      </w:tr>
      <w:tr>
        <w:tc>
          <w:tcPr>
            <w:tcW w:type="dxa" w:w="4680"/>
            <w:shd w:val="clear" w:color="auto" w:fill="FFFFFF"/>
          </w:tcPr>
          <w:p>
            <w:pPr>
              <w:jc w:val="left"/>
            </w:pPr>
            <w:r>
              <w:rPr>
                <w:rFonts w:ascii="Calibri" w:hAnsi="Calibri"/>
                <w:b/>
                <w:i w:val="0"/>
                <w:sz w:val="18"/>
              </w:rPr>
              <w:t>Project No.</w:t>
            </w:r>
          </w:p>
        </w:tc>
        <w:tc>
          <w:tcPr>
            <w:tcW w:type="dxa" w:w="4680"/>
            <w:shd w:val="clear" w:color="auto" w:fill="FFFFFF"/>
          </w:tcPr>
          <w:p>
            <w:pPr>
              <w:jc w:val="left"/>
            </w:pPr>
            <w:r>
              <w:rPr>
                <w:rFonts w:ascii="Calibri" w:hAnsi="Calibri"/>
                <w:b w:val="0"/>
                <w:i w:val="0"/>
                <w:color w:val="0B3D91"/>
                <w:sz w:val="18"/>
              </w:rPr>
              <w:t>MCT-2026-MEP-001</w:t>
            </w:r>
          </w:p>
        </w:tc>
      </w:tr>
      <w:tr>
        <w:tc>
          <w:tcPr>
            <w:tcW w:type="dxa" w:w="4680"/>
            <w:shd w:val="clear" w:color="auto" w:fill="EFF9FC"/>
          </w:tcPr>
          <w:p>
            <w:pPr>
              <w:jc w:val="left"/>
            </w:pPr>
            <w:r>
              <w:rPr>
                <w:rFonts w:ascii="Calibri" w:hAnsi="Calibri"/>
                <w:b/>
                <w:i w:val="0"/>
                <w:sz w:val="18"/>
              </w:rPr>
              <w:t>Revision</w:t>
            </w:r>
          </w:p>
        </w:tc>
        <w:tc>
          <w:tcPr>
            <w:tcW w:type="dxa" w:w="4680"/>
            <w:shd w:val="clear" w:color="auto" w:fill="EFF9FC"/>
          </w:tcPr>
          <w:p>
            <w:pPr>
              <w:jc w:val="left"/>
            </w:pPr>
            <w:r>
              <w:rPr>
                <w:rFonts w:ascii="Calibri" w:hAnsi="Calibri"/>
                <w:b w:val="0"/>
                <w:i w:val="0"/>
                <w:color w:val="0B3D91"/>
                <w:sz w:val="18"/>
              </w:rPr>
              <w:t>P2</w:t>
            </w:r>
          </w:p>
        </w:tc>
      </w:tr>
      <w:tr>
        <w:tc>
          <w:tcPr>
            <w:tcW w:type="dxa" w:w="4680"/>
            <w:shd w:val="clear" w:color="auto" w:fill="FFFFFF"/>
          </w:tcPr>
          <w:p>
            <w:pPr>
              <w:jc w:val="left"/>
            </w:pPr>
            <w:r>
              <w:rPr>
                <w:rFonts w:ascii="Calibri" w:hAnsi="Calibri"/>
                <w:b/>
                <w:i w:val="0"/>
                <w:sz w:val="18"/>
              </w:rPr>
              <w:t>Client</w:t>
            </w:r>
          </w:p>
        </w:tc>
        <w:tc>
          <w:tcPr>
            <w:tcW w:type="dxa" w:w="4680"/>
            <w:shd w:val="clear" w:color="auto" w:fill="FFFFFF"/>
          </w:tcPr>
          <w:p>
            <w:pPr>
              <w:jc w:val="left"/>
            </w:pPr>
            <w:r>
              <w:rPr>
                <w:rFonts w:ascii="Calibri" w:hAnsi="Calibri"/>
                <w:b w:val="0"/>
                <w:i w:val="0"/>
                <w:color w:val="6B7280"/>
                <w:sz w:val="18"/>
              </w:rPr>
              <w:t>—</w:t>
            </w:r>
          </w:p>
        </w:tc>
      </w:tr>
      <w:tr>
        <w:tc>
          <w:tcPr>
            <w:tcW w:type="dxa" w:w="4680"/>
            <w:shd w:val="clear" w:color="auto" w:fill="EFF9FC"/>
          </w:tcPr>
          <w:p>
            <w:pPr>
              <w:jc w:val="left"/>
            </w:pPr>
            <w:r>
              <w:rPr>
                <w:rFonts w:ascii="Calibri" w:hAnsi="Calibri"/>
                <w:b/>
                <w:i w:val="0"/>
                <w:sz w:val="18"/>
              </w:rPr>
              <w:t>Prepared by</w:t>
            </w:r>
          </w:p>
        </w:tc>
        <w:tc>
          <w:tcPr>
            <w:tcW w:type="dxa" w:w="4680"/>
            <w:shd w:val="clear" w:color="auto" w:fill="EFF9FC"/>
          </w:tcPr>
          <w:p>
            <w:pPr>
              <w:jc w:val="left"/>
            </w:pPr>
            <w:r>
              <w:rPr>
                <w:rFonts w:ascii="Calibri" w:hAnsi="Calibri"/>
                <w:b w:val="0"/>
                <w:i w:val="0"/>
                <w:color w:val="0B3D91"/>
                <w:sz w:val="18"/>
              </w:rPr>
              <w:t>Hussein Ragab</w:t>
            </w:r>
          </w:p>
        </w:tc>
      </w:tr>
      <w:tr>
        <w:tc>
          <w:tcPr>
            <w:tcW w:type="dxa" w:w="4680"/>
            <w:shd w:val="clear" w:color="auto" w:fill="FFFFFF"/>
          </w:tcPr>
          <w:p>
            <w:pPr>
              <w:jc w:val="left"/>
            </w:pPr>
            <w:r>
              <w:rPr>
                <w:rFonts w:ascii="Calibri" w:hAnsi="Calibri"/>
                <w:b/>
                <w:i w:val="0"/>
                <w:sz w:val="18"/>
              </w:rPr>
              <w:t>Checked by</w:t>
            </w:r>
          </w:p>
        </w:tc>
        <w:tc>
          <w:tcPr>
            <w:tcW w:type="dxa" w:w="4680"/>
            <w:shd w:val="clear" w:color="auto" w:fill="FFFFFF"/>
          </w:tcPr>
          <w:p>
            <w:pPr>
              <w:jc w:val="left"/>
            </w:pPr>
            <w:r>
              <w:rPr>
                <w:rFonts w:ascii="Calibri" w:hAnsi="Calibri"/>
                <w:b w:val="0"/>
                <w:i w:val="0"/>
                <w:color w:val="6B7280"/>
                <w:sz w:val="18"/>
              </w:rPr>
              <w:t>—</w:t>
            </w:r>
          </w:p>
        </w:tc>
      </w:tr>
      <w:tr>
        <w:tc>
          <w:tcPr>
            <w:tcW w:type="dxa" w:w="4680"/>
            <w:shd w:val="clear" w:color="auto" w:fill="EFF9FC"/>
          </w:tcPr>
          <w:p>
            <w:pPr>
              <w:jc w:val="left"/>
            </w:pPr>
            <w:r>
              <w:rPr>
                <w:rFonts w:ascii="Calibri" w:hAnsi="Calibri"/>
                <w:b/>
                <w:i w:val="0"/>
                <w:sz w:val="18"/>
              </w:rPr>
              <w:t>Date</w:t>
            </w:r>
          </w:p>
        </w:tc>
        <w:tc>
          <w:tcPr>
            <w:tcW w:type="dxa" w:w="4680"/>
            <w:shd w:val="clear" w:color="auto" w:fill="EFF9FC"/>
          </w:tcPr>
          <w:p>
            <w:pPr>
              <w:jc w:val="left"/>
            </w:pPr>
            <w:r>
              <w:rPr>
                <w:rFonts w:ascii="Calibri" w:hAnsi="Calibri"/>
                <w:b w:val="0"/>
                <w:i w:val="0"/>
                <w:color w:val="0B3D91"/>
                <w:sz w:val="18"/>
              </w:rPr>
              <w:t>2026-10-20</w:t>
            </w:r>
          </w:p>
        </w:tc>
      </w:tr>
    </w:tbl>
    <w:p/>
    <w:p>
      <w:r>
        <w:rPr>
          <w:rFonts w:ascii="Calibri" w:hAnsi="Calibri"/>
          <w:i/>
          <w:color w:val="374151"/>
          <w:sz w:val="18"/>
        </w:rPr>
        <w:t>Values in this report are displayed in SI (metric) units.</w:t>
      </w:r>
    </w:p>
    <w:p>
      <w:pPr>
        <w:pStyle w:val="Heading1"/>
        <w:pBdr>
          <w:bottom w:val="single" w:sz="6" w:space="4" w:color="0A2540"/>
        </w:pBdr>
      </w:pPr>
      <w:r>
        <w:rPr>
          <w:rFonts w:ascii="Calibri" w:hAnsi="Calibri"/>
          <w:b/>
          <w:color w:val="0A2540"/>
          <w:sz w:val="26"/>
        </w:rPr>
        <w:t>1.  Methodology &amp; Standards</w:t>
      </w:r>
    </w:p>
    <w:tbl>
      <w:tblPr>
        <w:tblStyle w:val="TableGrid"/>
        <w:tblW w:type="auto" w:w="0"/>
        <w:tblLook w:firstColumn="1" w:firstRow="1" w:lastColumn="0" w:lastRow="0" w:noHBand="0" w:noVBand="1" w:val="04A0"/>
      </w:tblPr>
      <w:tblGrid>
        <w:gridCol w:w="4680"/>
        <w:gridCol w:w="4680"/>
      </w:tblGrid>
      <w:tr>
        <w:tc>
          <w:tcPr>
            <w:tcW w:type="dxa" w:w="4680"/>
            <w:shd w:val="clear" w:color="auto" w:fill="0A2540"/>
          </w:tcPr>
          <w:p>
            <w:pPr>
              <w:jc w:val="center"/>
            </w:pPr>
            <w:r>
              <w:rPr>
                <w:rFonts w:ascii="Calibri" w:hAnsi="Calibri"/>
                <w:b/>
                <w:i w:val="0"/>
                <w:color w:val="FFFFFF"/>
                <w:sz w:val="18"/>
              </w:rPr>
              <w:t>Reference</w:t>
            </w:r>
          </w:p>
        </w:tc>
        <w:tc>
          <w:tcPr>
            <w:tcW w:type="dxa" w:w="4680"/>
            <w:shd w:val="clear" w:color="auto" w:fill="0A2540"/>
          </w:tcPr>
          <w:p>
            <w:pPr>
              <w:jc w:val="center"/>
            </w:pPr>
            <w:r>
              <w:rPr>
                <w:rFonts w:ascii="Calibri" w:hAnsi="Calibri"/>
                <w:b/>
                <w:i w:val="0"/>
                <w:color w:val="FFFFFF"/>
                <w:sz w:val="18"/>
              </w:rPr>
              <w:t>Application</w:t>
            </w:r>
          </w:p>
        </w:tc>
      </w:tr>
      <w:tr>
        <w:tc>
          <w:tcPr>
            <w:tcW w:type="dxa" w:w="4680"/>
            <w:shd w:val="clear" w:color="auto" w:fill="EFF9FC"/>
          </w:tcPr>
          <w:p>
            <w:pPr>
              <w:jc w:val="left"/>
            </w:pPr>
            <w:r>
              <w:rPr>
                <w:rFonts w:ascii="Calibri" w:hAnsi="Calibri"/>
                <w:b/>
                <w:i w:val="0"/>
                <w:color w:val="0A2540"/>
                <w:sz w:val="18"/>
              </w:rPr>
              <w:t>Shah (2014) — Outdoor Pool Evaporation, ASHRAE Trans. SE-14-001</w:t>
            </w:r>
          </w:p>
        </w:tc>
        <w:tc>
          <w:tcPr>
            <w:tcW w:type="dxa" w:w="4680"/>
            <w:shd w:val="clear" w:color="auto" w:fill="EFF9FC"/>
          </w:tcPr>
          <w:p>
            <w:pPr>
              <w:jc w:val="left"/>
            </w:pPr>
            <w:r>
              <w:rPr>
                <w:rFonts w:ascii="Calibri" w:hAnsi="Calibri"/>
                <w:b w:val="0"/>
                <w:i w:val="0"/>
                <w:sz w:val="18"/>
              </w:rPr>
              <w:t>Eq. (7), p. 8, wind-driven forced-convection evaporation: E0 = 0.00005·(u/0.15)^0.7·(P_w − P_a), floored by the calm natural-convection value (ASHRAE HVAC Applications 2007 Ch. 4 Eq. 1 at zero wind). An OCCUPIED pool applies Eq. (5), p. 4 — Eocc/E0 = 1.9 − 21·(ρ_r − ρ_w) + 5.3·N*, with (ρ_r − ρ_w) used = min(max(ρ_r − ρ_w, 0), 0.0421 kg/m³): held at the Table 6, p. 7 verified limit, an engineer extension (ruling R2-01, 2026-09-23; Shah gives no rule above it) — on that E0. Table 14, p. 13 prescribes Eq. (5) on the largest of Shah Eq. (1), (2), (7); this tool's E0 floor is ASHRAE Eq. 1 (1.4 to 2.7 x Shah Table 4 at calm) — an engineer extension (ruling D29, 2026-09-22). The ASHRAE activity factor is not applied outdoors (engineer ruling 19a-4, 2026-09-05). This run: Shah 2014 Eq. (7), p. 8, floored by ASHRAE 2007 Ch. 4 Eq. 1 at zero wind (engineer extension; Shah p. 9 and Table 14 p. 13 take the largest of his own Eq. (1), (2) and (7)) (unoccupied outdoor pool).</w:t>
            </w:r>
          </w:p>
        </w:tc>
      </w:tr>
      <w:tr>
        <w:tc>
          <w:tcPr>
            <w:tcW w:type="dxa" w:w="4680"/>
            <w:shd w:val="clear" w:color="auto" w:fill="FFFFFF"/>
          </w:tcPr>
          <w:p>
            <w:pPr>
              <w:jc w:val="left"/>
            </w:pPr>
            <w:r>
              <w:rPr>
                <w:rFonts w:ascii="Calibri" w:hAnsi="Calibri"/>
                <w:b/>
                <w:i w:val="0"/>
                <w:color w:val="0A2540"/>
                <w:sz w:val="18"/>
              </w:rPr>
              <w:t>Arden Buck (1981) — Vapour Pressure</w:t>
            </w:r>
          </w:p>
        </w:tc>
        <w:tc>
          <w:tcPr>
            <w:tcW w:type="dxa" w:w="4680"/>
            <w:shd w:val="clear" w:color="auto" w:fill="FFFFFF"/>
          </w:tcPr>
          <w:p>
            <w:pPr>
              <w:jc w:val="left"/>
            </w:pPr>
            <w:r>
              <w:rPr>
                <w:rFonts w:ascii="Calibri" w:hAnsi="Calibri"/>
                <w:b w:val="0"/>
                <w:i w:val="0"/>
                <w:sz w:val="18"/>
              </w:rPr>
              <w:t>Saturation vapour pressure equation for T ≥ 0°C (over liquid water) and T &lt; 0°C (over ice). More accurate than Antoine equation near 0°C.</w:t>
            </w:r>
          </w:p>
        </w:tc>
      </w:tr>
      <w:tr>
        <w:tc>
          <w:tcPr>
            <w:tcW w:type="dxa" w:w="4680"/>
            <w:shd w:val="clear" w:color="auto" w:fill="EFF9FC"/>
          </w:tcPr>
          <w:p>
            <w:pPr>
              <w:jc w:val="left"/>
            </w:pPr>
            <w:r>
              <w:rPr>
                <w:rFonts w:ascii="Calibri" w:hAnsi="Calibri"/>
                <w:b/>
                <w:i w:val="0"/>
                <w:color w:val="0A2540"/>
                <w:sz w:val="18"/>
              </w:rPr>
              <w:t>McAdams (1954) — Convective Coefficient</w:t>
            </w:r>
          </w:p>
        </w:tc>
        <w:tc>
          <w:tcPr>
            <w:tcW w:type="dxa" w:w="4680"/>
            <w:shd w:val="clear" w:color="auto" w:fill="EFF9FC"/>
          </w:tcPr>
          <w:p>
            <w:pPr>
              <w:jc w:val="left"/>
            </w:pPr>
            <w:r>
              <w:rPr>
                <w:rFonts w:ascii="Calibri" w:hAnsi="Calibri"/>
                <w:b w:val="0"/>
                <w:i w:val="0"/>
                <w:sz w:val="18"/>
              </w:rPr>
              <w:t>h_cv = 5.68 + 3.94·u  [W/(m²·°C)]  for forced convection from an open water surface to ambient air. Lineage: McAdams p. 207 Eq. 34 / Table XI (Jürges, smooth surface) h = 0.99 + 0.21·V' in I-P; the printed conversion is 5.62 + 3.91·u — the engine's coded pair is about 1 % higher (slightly conservative on the loss side). Jurges' data behind McAdams p. 207 Eq. 34 are for air parallel to a vertical plate; McAdams' Schack air-temperature correction and his low-velocity rule (take the larger of forced and natural convection, p. 210) are not applied; the coded pair is 5.68 + 3.94 u against the printed conversion 5.62 + 3.91 u. Table XI prints this linear row for velocities below 16 ft/s (4.88 m/s) only; above it McAdams prints h = 0.50 V'^0.78, which meets the linear row at 16 ft/s (both 4.35) and falls below it above (10.57 against 11.49 at 50 ft/s, Btu/(h ft2 F)); the coded row is applied at every wind speed and errs on the high-load side there.</w:t>
            </w:r>
          </w:p>
        </w:tc>
      </w:tr>
      <w:tr>
        <w:tc>
          <w:tcPr>
            <w:tcW w:type="dxa" w:w="4680"/>
            <w:shd w:val="clear" w:color="auto" w:fill="FFFFFF"/>
          </w:tcPr>
          <w:p>
            <w:pPr>
              <w:jc w:val="left"/>
            </w:pPr>
            <w:r>
              <w:rPr>
                <w:rFonts w:ascii="Calibri" w:hAnsi="Calibri"/>
                <w:b/>
                <w:i w:val="0"/>
                <w:color w:val="0A2540"/>
                <w:sz w:val="18"/>
              </w:rPr>
              <w:t>Swinbank (1963) — Sky Temperature</w:t>
            </w:r>
          </w:p>
        </w:tc>
        <w:tc>
          <w:tcPr>
            <w:tcW w:type="dxa" w:w="4680"/>
            <w:shd w:val="clear" w:color="auto" w:fill="FFFFFF"/>
          </w:tcPr>
          <w:p>
            <w:pPr>
              <w:jc w:val="left"/>
            </w:pPr>
            <w:r>
              <w:rPr>
                <w:rFonts w:ascii="Calibri" w:hAnsi="Calibri"/>
                <w:b w:val="0"/>
                <w:i w:val="0"/>
                <w:sz w:val="18"/>
              </w:rPr>
              <w:t>T_sky_K = 0.0552 × T_amb_K^1.5  — clear-sky longwave radiation model (Q.J.R. Meteorol. Soc. 89; primary paper not held in ref). Applied to every outdoor hour as a clear sky (conservative on the heating side).</w:t>
            </w:r>
          </w:p>
        </w:tc>
      </w:tr>
      <w:tr>
        <w:tc>
          <w:tcPr>
            <w:tcW w:type="dxa" w:w="4680"/>
            <w:shd w:val="clear" w:color="auto" w:fill="EFF9FC"/>
          </w:tcPr>
          <w:p>
            <w:pPr>
              <w:jc w:val="left"/>
            </w:pPr>
            <w:r>
              <w:rPr>
                <w:rFonts w:ascii="Calibri" w:hAnsi="Calibri"/>
                <w:b/>
                <w:i w:val="0"/>
                <w:color w:val="0A2540"/>
                <w:sz w:val="18"/>
              </w:rPr>
              <w:t>Stefan-Boltzmann Radiation</w:t>
            </w:r>
          </w:p>
        </w:tc>
        <w:tc>
          <w:tcPr>
            <w:tcW w:type="dxa" w:w="4680"/>
            <w:shd w:val="clear" w:color="auto" w:fill="EFF9FC"/>
          </w:tcPr>
          <w:p>
            <w:pPr>
              <w:jc w:val="left"/>
            </w:pPr>
            <w:r>
              <w:rPr>
                <w:rFonts w:ascii="Calibri" w:hAnsi="Calibri"/>
                <w:b w:val="0"/>
                <w:i w:val="0"/>
                <w:sz w:val="18"/>
              </w:rPr>
              <w:t>Q_rad = ε·σ·(T_pool⁴ − T_sky⁴)  with ε = 0.95 for water (library value).</w:t>
            </w:r>
          </w:p>
        </w:tc>
      </w:tr>
      <w:tr>
        <w:tc>
          <w:tcPr>
            <w:tcW w:type="dxa" w:w="4680"/>
            <w:shd w:val="clear" w:color="auto" w:fill="FFFFFF"/>
          </w:tcPr>
          <w:p>
            <w:pPr>
              <w:jc w:val="left"/>
            </w:pPr>
            <w:r>
              <w:rPr>
                <w:rFonts w:ascii="Calibri" w:hAnsi="Calibri"/>
                <w:b/>
                <w:i w:val="0"/>
                <w:color w:val="0A2540"/>
                <w:sz w:val="18"/>
              </w:rPr>
              <w:t>Design-Condition Sizing — pool-industry convention (not a cited clause)</w:t>
            </w:r>
          </w:p>
        </w:tc>
        <w:tc>
          <w:tcPr>
            <w:tcW w:type="dxa" w:w="4680"/>
            <w:shd w:val="clear" w:color="auto" w:fill="FFFFFF"/>
          </w:tcPr>
          <w:p>
            <w:pPr>
              <w:jc w:val="left"/>
            </w:pPr>
            <w:r>
              <w:rPr>
                <w:rFonts w:ascii="Calibri" w:hAnsi="Calibri"/>
                <w:b w:val="0"/>
                <w:i w:val="0"/>
                <w:sz w:val="18"/>
              </w:rPr>
              <w:t>Equipment sizing follows pool-industry practice (CIBSE / Astral methodology) — a convention of this tool, printed in no held document. Design heating ambient = mean temperature of the auto-detected coldest 3 months (detected from the fetched data by mean temperature, hemisphere-agnostic; up to three months, fewer on a period under six calendar months, and a period within one calendar month is refused). Design cooling ambient = mean of the hottest month (August 2024): the calendar month of the simulated period with the highest cooling gain at its mean conditions (mean air temperature, RH, wind and solar; summer set-point and make-up temperature), taken in the governing occupancy state (engineer ruling 29.09.2026 R3). Maintenance load q2 is evaluated at these mean conditions — zero solar for heating (worst-case overnight), that month's mean solar for cooling. The pool cover is not applied to the equipment size: the heating plant is sized on the uncovered load (it must hold set-point with the cover off); the cover changes the annual energy only (engineer ruling D25, 2026-09-22).</w:t>
            </w:r>
          </w:p>
        </w:tc>
      </w:tr>
      <w:tr>
        <w:tc>
          <w:tcPr>
            <w:tcW w:type="dxa" w:w="4680"/>
            <w:shd w:val="clear" w:color="auto" w:fill="EFF9FC"/>
          </w:tcPr>
          <w:p>
            <w:pPr>
              <w:jc w:val="left"/>
            </w:pPr>
            <w:r>
              <w:rPr>
                <w:rFonts w:ascii="Calibri" w:hAnsi="Calibri"/>
                <w:b/>
                <w:i w:val="0"/>
                <w:color w:val="0A2540"/>
                <w:sz w:val="18"/>
              </w:rPr>
              <w:t>Open-Meteo Archive API</w:t>
            </w:r>
          </w:p>
        </w:tc>
        <w:tc>
          <w:tcPr>
            <w:tcW w:type="dxa" w:w="4680"/>
            <w:shd w:val="clear" w:color="auto" w:fill="EFF9FC"/>
          </w:tcPr>
          <w:p>
            <w:pPr>
              <w:jc w:val="left"/>
            </w:pPr>
            <w:r>
              <w:rPr>
                <w:rFonts w:ascii="Calibri" w:hAnsi="Calibri"/>
                <w:b w:val="0"/>
                <w:i w:val="0"/>
                <w:sz w:val="18"/>
              </w:rPr>
              <w:t>Hourly T, RH, wind speed and shortwave radiation for 2024-01-01 to 2024-12-31, requested with timezone=auto so every hour stamp is the SITE LOCAL clock (local time at the site (Asia/Dubai)); the cover window and the HP off-window are applied on that clock. Source of this run: Open-Meteo archive (live fetch) (data written 2026-10-20 10:07; lat 25.077, lon 55.309).</w:t>
            </w:r>
          </w:p>
        </w:tc>
      </w:tr>
    </w:tbl>
    <w:p/>
    <w:p>
      <w:pPr>
        <w:pStyle w:val="Heading1"/>
        <w:pBdr>
          <w:bottom w:val="single" w:sz="6" w:space="4" w:color="0A2540"/>
        </w:pBdr>
      </w:pPr>
      <w:r>
        <w:rPr>
          <w:rFonts w:ascii="Calibri" w:hAnsi="Calibri"/>
          <w:b/>
          <w:color w:val="0A2540"/>
          <w:sz w:val="26"/>
        </w:rPr>
        <w:t>2.  Design Inputs</w:t>
      </w:r>
    </w:p>
    <w:tbl>
      <w:tblPr>
        <w:tblStyle w:val="TableGrid"/>
        <w:tblW w:type="auto" w:w="0"/>
        <w:tblLook w:firstColumn="1" w:firstRow="1" w:lastColumn="0" w:lastRow="0" w:noHBand="0" w:noVBand="1" w:val="04A0"/>
      </w:tblPr>
      <w:tblGrid>
        <w:gridCol w:w="4680"/>
        <w:gridCol w:w="4680"/>
      </w:tblGrid>
      <w:tr>
        <w:tc>
          <w:tcPr>
            <w:tcW w:type="dxa" w:w="4680"/>
            <w:shd w:val="clear" w:color="auto" w:fill="0A2540"/>
          </w:tcPr>
          <w:p>
            <w:pPr>
              <w:jc w:val="center"/>
            </w:pPr>
            <w:r>
              <w:rPr>
                <w:rFonts w:ascii="Calibri" w:hAnsi="Calibri"/>
                <w:b/>
                <w:i w:val="0"/>
                <w:color w:val="FFFFFF"/>
                <w:sz w:val="18"/>
              </w:rPr>
              <w:t>Parameter</w:t>
            </w:r>
          </w:p>
        </w:tc>
        <w:tc>
          <w:tcPr>
            <w:tcW w:type="dxa" w:w="4680"/>
            <w:shd w:val="clear" w:color="auto" w:fill="0A2540"/>
          </w:tcPr>
          <w:p>
            <w:pPr>
              <w:jc w:val="center"/>
            </w:pPr>
            <w:r>
              <w:rPr>
                <w:rFonts w:ascii="Calibri" w:hAnsi="Calibri"/>
                <w:b/>
                <w:i w:val="0"/>
                <w:color w:val="FFFFFF"/>
                <w:sz w:val="18"/>
              </w:rPr>
              <w:t>Value</w:t>
            </w:r>
          </w:p>
        </w:tc>
      </w:tr>
      <w:tr>
        <w:tc>
          <w:tcPr>
            <w:tcW w:type="dxa" w:w="4680"/>
            <w:shd w:val="clear" w:color="auto" w:fill="EFF9FC"/>
          </w:tcPr>
          <w:p>
            <w:pPr>
              <w:jc w:val="left"/>
            </w:pPr>
            <w:r>
              <w:rPr>
                <w:rFonts w:ascii="Calibri" w:hAnsi="Calibri"/>
                <w:b w:val="0"/>
                <w:i w:val="0"/>
                <w:sz w:val="18"/>
              </w:rPr>
              <w:t>Location</w:t>
            </w:r>
          </w:p>
        </w:tc>
        <w:tc>
          <w:tcPr>
            <w:tcW w:type="dxa" w:w="4680"/>
            <w:shd w:val="clear" w:color="auto" w:fill="EFF9FC"/>
          </w:tcPr>
          <w:p>
            <w:pPr>
              <w:jc w:val="left"/>
            </w:pPr>
            <w:r>
              <w:rPr>
                <w:rFonts w:ascii="Calibri" w:hAnsi="Calibri"/>
                <w:b/>
                <w:i w:val="0"/>
                <w:color w:val="0B3D91"/>
                <w:sz w:val="18"/>
              </w:rPr>
              <w:t>Dubai</w:t>
            </w:r>
          </w:p>
        </w:tc>
      </w:tr>
      <w:tr>
        <w:tc>
          <w:tcPr>
            <w:tcW w:type="dxa" w:w="4680"/>
            <w:shd w:val="clear" w:color="auto" w:fill="FFFFFF"/>
          </w:tcPr>
          <w:p>
            <w:pPr>
              <w:jc w:val="left"/>
            </w:pPr>
            <w:r>
              <w:rPr>
                <w:rFonts w:ascii="Calibri" w:hAnsi="Calibri"/>
                <w:b w:val="0"/>
                <w:i w:val="0"/>
                <w:sz w:val="18"/>
              </w:rPr>
              <w:t>Simulation Period</w:t>
            </w:r>
          </w:p>
        </w:tc>
        <w:tc>
          <w:tcPr>
            <w:tcW w:type="dxa" w:w="4680"/>
            <w:shd w:val="clear" w:color="auto" w:fill="FFFFFF"/>
          </w:tcPr>
          <w:p>
            <w:pPr>
              <w:jc w:val="left"/>
            </w:pPr>
            <w:r>
              <w:rPr>
                <w:rFonts w:ascii="Calibri" w:hAnsi="Calibri"/>
                <w:b/>
                <w:i w:val="0"/>
                <w:color w:val="0B3D91"/>
                <w:sz w:val="18"/>
              </w:rPr>
              <w:t>2024-01-01 to 2024-12-31</w:t>
            </w:r>
          </w:p>
        </w:tc>
      </w:tr>
      <w:tr>
        <w:tc>
          <w:tcPr>
            <w:tcW w:type="dxa" w:w="4680"/>
            <w:shd w:val="clear" w:color="auto" w:fill="EFF9FC"/>
          </w:tcPr>
          <w:p>
            <w:pPr>
              <w:jc w:val="left"/>
            </w:pPr>
            <w:r>
              <w:rPr>
                <w:rFonts w:ascii="Calibri" w:hAnsi="Calibri"/>
                <w:b w:val="0"/>
                <w:i w:val="0"/>
                <w:sz w:val="18"/>
              </w:rPr>
              <w:t>Weather Data Source</w:t>
            </w:r>
          </w:p>
        </w:tc>
        <w:tc>
          <w:tcPr>
            <w:tcW w:type="dxa" w:w="4680"/>
            <w:shd w:val="clear" w:color="auto" w:fill="EFF9FC"/>
          </w:tcPr>
          <w:p>
            <w:pPr>
              <w:jc w:val="left"/>
            </w:pPr>
            <w:r>
              <w:rPr>
                <w:rFonts w:ascii="Calibri" w:hAnsi="Calibri"/>
                <w:b/>
                <w:i w:val="0"/>
                <w:color w:val="0B3D91"/>
                <w:sz w:val="18"/>
              </w:rPr>
              <w:t>Open-Meteo archive (live fetch)  (data written 2026-10-20 10:07; lat 25.077, lon 55.309)</w:t>
            </w:r>
          </w:p>
        </w:tc>
      </w:tr>
      <w:tr>
        <w:tc>
          <w:tcPr>
            <w:tcW w:type="dxa" w:w="4680"/>
            <w:shd w:val="clear" w:color="auto" w:fill="FFFFFF"/>
          </w:tcPr>
          <w:p>
            <w:pPr>
              <w:jc w:val="left"/>
            </w:pPr>
            <w:r>
              <w:rPr>
                <w:rFonts w:ascii="Calibri" w:hAnsi="Calibri"/>
                <w:b w:val="0"/>
                <w:i w:val="0"/>
                <w:sz w:val="18"/>
              </w:rPr>
              <w:t>Time Basis (hourly stamps, schedules)</w:t>
            </w:r>
          </w:p>
        </w:tc>
        <w:tc>
          <w:tcPr>
            <w:tcW w:type="dxa" w:w="4680"/>
            <w:shd w:val="clear" w:color="auto" w:fill="FFFFFF"/>
          </w:tcPr>
          <w:p>
            <w:pPr>
              <w:jc w:val="left"/>
            </w:pPr>
            <w:r>
              <w:rPr>
                <w:rFonts w:ascii="Calibri" w:hAnsi="Calibri"/>
                <w:b/>
                <w:i w:val="0"/>
                <w:color w:val="0B3D91"/>
                <w:sz w:val="18"/>
              </w:rPr>
              <w:t>local time at the site (Asia/Dubai)</w:t>
            </w:r>
          </w:p>
        </w:tc>
      </w:tr>
      <w:tr>
        <w:tc>
          <w:tcPr>
            <w:tcW w:type="dxa" w:w="4680"/>
            <w:shd w:val="clear" w:color="auto" w:fill="EFF9FC"/>
          </w:tcPr>
          <w:p>
            <w:pPr>
              <w:jc w:val="left"/>
            </w:pPr>
            <w:r>
              <w:rPr>
                <w:rFonts w:ascii="Calibri" w:hAnsi="Calibri"/>
                <w:b w:val="0"/>
                <w:i w:val="0"/>
                <w:sz w:val="18"/>
              </w:rPr>
              <w:t>Pool Surface Area</w:t>
            </w:r>
          </w:p>
        </w:tc>
        <w:tc>
          <w:tcPr>
            <w:tcW w:type="dxa" w:w="4680"/>
            <w:shd w:val="clear" w:color="auto" w:fill="EFF9FC"/>
          </w:tcPr>
          <w:p>
            <w:pPr>
              <w:jc w:val="left"/>
            </w:pPr>
            <w:r>
              <w:rPr>
                <w:rFonts w:ascii="Calibri" w:hAnsi="Calibri"/>
                <w:b/>
                <w:i w:val="0"/>
                <w:color w:val="0B3D91"/>
                <w:sz w:val="18"/>
              </w:rPr>
              <w:t>150.0 m²</w:t>
            </w:r>
          </w:p>
        </w:tc>
      </w:tr>
      <w:tr>
        <w:tc>
          <w:tcPr>
            <w:tcW w:type="dxa" w:w="4680"/>
            <w:shd w:val="clear" w:color="auto" w:fill="FFFFFF"/>
          </w:tcPr>
          <w:p>
            <w:pPr>
              <w:jc w:val="left"/>
            </w:pPr>
            <w:r>
              <w:rPr>
                <w:rFonts w:ascii="Calibri" w:hAnsi="Calibri"/>
                <w:b w:val="0"/>
                <w:i w:val="0"/>
                <w:sz w:val="18"/>
              </w:rPr>
              <w:t>Pool Average Depth</w:t>
            </w:r>
          </w:p>
        </w:tc>
        <w:tc>
          <w:tcPr>
            <w:tcW w:type="dxa" w:w="4680"/>
            <w:shd w:val="clear" w:color="auto" w:fill="FFFFFF"/>
          </w:tcPr>
          <w:p>
            <w:pPr>
              <w:jc w:val="left"/>
            </w:pPr>
            <w:r>
              <w:rPr>
                <w:rFonts w:ascii="Calibri" w:hAnsi="Calibri"/>
                <w:b/>
                <w:i w:val="0"/>
                <w:color w:val="0B3D91"/>
                <w:sz w:val="18"/>
              </w:rPr>
              <w:t>1.4 m</w:t>
            </w:r>
          </w:p>
        </w:tc>
      </w:tr>
      <w:tr>
        <w:tc>
          <w:tcPr>
            <w:tcW w:type="dxa" w:w="4680"/>
            <w:shd w:val="clear" w:color="auto" w:fill="EFF9FC"/>
          </w:tcPr>
          <w:p>
            <w:pPr>
              <w:jc w:val="left"/>
            </w:pPr>
            <w:r>
              <w:rPr>
                <w:rFonts w:ascii="Calibri" w:hAnsi="Calibri"/>
                <w:b w:val="0"/>
                <w:i w:val="0"/>
                <w:sz w:val="18"/>
              </w:rPr>
              <w:t>Pool Volume</w:t>
            </w:r>
          </w:p>
        </w:tc>
        <w:tc>
          <w:tcPr>
            <w:tcW w:type="dxa" w:w="4680"/>
            <w:shd w:val="clear" w:color="auto" w:fill="EFF9FC"/>
          </w:tcPr>
          <w:p>
            <w:pPr>
              <w:jc w:val="left"/>
            </w:pPr>
            <w:r>
              <w:rPr>
                <w:rFonts w:ascii="Calibri" w:hAnsi="Calibri"/>
                <w:b/>
                <w:i w:val="0"/>
                <w:color w:val="0B3D91"/>
                <w:sz w:val="18"/>
              </w:rPr>
              <w:t>210.0 m³</w:t>
            </w:r>
          </w:p>
        </w:tc>
      </w:tr>
      <w:tr>
        <w:tc>
          <w:tcPr>
            <w:tcW w:type="dxa" w:w="4680"/>
            <w:shd w:val="clear" w:color="auto" w:fill="FFFFFF"/>
          </w:tcPr>
          <w:p>
            <w:pPr>
              <w:jc w:val="left"/>
            </w:pPr>
            <w:r>
              <w:rPr>
                <w:rFonts w:ascii="Calibri" w:hAnsi="Calibri"/>
                <w:b w:val="0"/>
                <w:i w:val="0"/>
                <w:sz w:val="18"/>
              </w:rPr>
              <w:t>Desired Water Temp — Winter</w:t>
            </w:r>
          </w:p>
        </w:tc>
        <w:tc>
          <w:tcPr>
            <w:tcW w:type="dxa" w:w="4680"/>
            <w:shd w:val="clear" w:color="auto" w:fill="FFFFFF"/>
          </w:tcPr>
          <w:p>
            <w:pPr>
              <w:jc w:val="left"/>
            </w:pPr>
            <w:r>
              <w:rPr>
                <w:rFonts w:ascii="Calibri" w:hAnsi="Calibri"/>
                <w:b/>
                <w:i w:val="0"/>
                <w:color w:val="0B3D91"/>
                <w:sz w:val="18"/>
              </w:rPr>
              <w:t>26.0 °C</w:t>
            </w:r>
          </w:p>
        </w:tc>
      </w:tr>
      <w:tr>
        <w:tc>
          <w:tcPr>
            <w:tcW w:type="dxa" w:w="4680"/>
            <w:shd w:val="clear" w:color="auto" w:fill="EFF9FC"/>
          </w:tcPr>
          <w:p>
            <w:pPr>
              <w:jc w:val="left"/>
            </w:pPr>
            <w:r>
              <w:rPr>
                <w:rFonts w:ascii="Calibri" w:hAnsi="Calibri"/>
                <w:b w:val="0"/>
                <w:i w:val="0"/>
                <w:sz w:val="18"/>
              </w:rPr>
              <w:t>Desired Water Temp — Summer</w:t>
            </w:r>
          </w:p>
        </w:tc>
        <w:tc>
          <w:tcPr>
            <w:tcW w:type="dxa" w:w="4680"/>
            <w:shd w:val="clear" w:color="auto" w:fill="EFF9FC"/>
          </w:tcPr>
          <w:p>
            <w:pPr>
              <w:jc w:val="left"/>
            </w:pPr>
            <w:r>
              <w:rPr>
                <w:rFonts w:ascii="Calibri" w:hAnsi="Calibri"/>
                <w:b/>
                <w:i w:val="0"/>
                <w:color w:val="0B3D91"/>
                <w:sz w:val="18"/>
              </w:rPr>
              <w:t>30.0 °C</w:t>
            </w:r>
          </w:p>
        </w:tc>
      </w:tr>
      <w:tr>
        <w:tc>
          <w:tcPr>
            <w:tcW w:type="dxa" w:w="4680"/>
            <w:shd w:val="clear" w:color="auto" w:fill="FFFFFF"/>
          </w:tcPr>
          <w:p>
            <w:pPr>
              <w:jc w:val="left"/>
            </w:pPr>
            <w:r>
              <w:rPr>
                <w:rFonts w:ascii="Calibri" w:hAnsi="Calibri"/>
                <w:b w:val="0"/>
                <w:i w:val="0"/>
                <w:sz w:val="18"/>
              </w:rPr>
              <w:t>Initial Water Temp — Winter</w:t>
            </w:r>
          </w:p>
        </w:tc>
        <w:tc>
          <w:tcPr>
            <w:tcW w:type="dxa" w:w="4680"/>
            <w:shd w:val="clear" w:color="auto" w:fill="FFFFFF"/>
          </w:tcPr>
          <w:p>
            <w:pPr>
              <w:jc w:val="left"/>
            </w:pPr>
            <w:r>
              <w:rPr>
                <w:rFonts w:ascii="Calibri" w:hAnsi="Calibri"/>
                <w:b/>
                <w:i w:val="0"/>
                <w:color w:val="0B3D91"/>
                <w:sz w:val="18"/>
              </w:rPr>
              <w:t>10.0 °C</w:t>
            </w:r>
          </w:p>
        </w:tc>
      </w:tr>
      <w:tr>
        <w:tc>
          <w:tcPr>
            <w:tcW w:type="dxa" w:w="4680"/>
            <w:shd w:val="clear" w:color="auto" w:fill="EFF9FC"/>
          </w:tcPr>
          <w:p>
            <w:pPr>
              <w:jc w:val="left"/>
            </w:pPr>
            <w:r>
              <w:rPr>
                <w:rFonts w:ascii="Calibri" w:hAnsi="Calibri"/>
                <w:b w:val="0"/>
                <w:i w:val="0"/>
                <w:sz w:val="18"/>
              </w:rPr>
              <w:t>Initial Water Temp — Summer</w:t>
            </w:r>
          </w:p>
        </w:tc>
        <w:tc>
          <w:tcPr>
            <w:tcW w:type="dxa" w:w="4680"/>
            <w:shd w:val="clear" w:color="auto" w:fill="EFF9FC"/>
          </w:tcPr>
          <w:p>
            <w:pPr>
              <w:jc w:val="left"/>
            </w:pPr>
            <w:r>
              <w:rPr>
                <w:rFonts w:ascii="Calibri" w:hAnsi="Calibri"/>
                <w:b/>
                <w:i w:val="0"/>
                <w:color w:val="0B3D91"/>
                <w:sz w:val="18"/>
              </w:rPr>
              <w:t>35.0 °C</w:t>
            </w:r>
          </w:p>
        </w:tc>
      </w:tr>
      <w:tr>
        <w:tc>
          <w:tcPr>
            <w:tcW w:type="dxa" w:w="4680"/>
            <w:shd w:val="clear" w:color="auto" w:fill="FFFFFF"/>
          </w:tcPr>
          <w:p>
            <w:pPr>
              <w:jc w:val="left"/>
            </w:pPr>
            <w:r>
              <w:rPr>
                <w:rFonts w:ascii="Calibri" w:hAnsi="Calibri"/>
                <w:b w:val="0"/>
                <w:i w:val="0"/>
                <w:sz w:val="18"/>
              </w:rPr>
              <w:t>Makeup Water Temp — Winter</w:t>
            </w:r>
          </w:p>
        </w:tc>
        <w:tc>
          <w:tcPr>
            <w:tcW w:type="dxa" w:w="4680"/>
            <w:shd w:val="clear" w:color="auto" w:fill="FFFFFF"/>
          </w:tcPr>
          <w:p>
            <w:pPr>
              <w:jc w:val="left"/>
            </w:pPr>
            <w:r>
              <w:rPr>
                <w:rFonts w:ascii="Calibri" w:hAnsi="Calibri"/>
                <w:b/>
                <w:i w:val="0"/>
                <w:color w:val="0B3D91"/>
                <w:sz w:val="18"/>
              </w:rPr>
              <w:t>12.0 °C</w:t>
            </w:r>
          </w:p>
        </w:tc>
      </w:tr>
      <w:tr>
        <w:tc>
          <w:tcPr>
            <w:tcW w:type="dxa" w:w="4680"/>
            <w:shd w:val="clear" w:color="auto" w:fill="EFF9FC"/>
          </w:tcPr>
          <w:p>
            <w:pPr>
              <w:jc w:val="left"/>
            </w:pPr>
            <w:r>
              <w:rPr>
                <w:rFonts w:ascii="Calibri" w:hAnsi="Calibri"/>
                <w:b w:val="0"/>
                <w:i w:val="0"/>
                <w:sz w:val="18"/>
              </w:rPr>
              <w:t>Makeup Water Temp — Summer</w:t>
            </w:r>
          </w:p>
        </w:tc>
        <w:tc>
          <w:tcPr>
            <w:tcW w:type="dxa" w:w="4680"/>
            <w:shd w:val="clear" w:color="auto" w:fill="EFF9FC"/>
          </w:tcPr>
          <w:p>
            <w:pPr>
              <w:jc w:val="left"/>
            </w:pPr>
            <w:r>
              <w:rPr>
                <w:rFonts w:ascii="Calibri" w:hAnsi="Calibri"/>
                <w:b/>
                <w:i w:val="0"/>
                <w:color w:val="0B3D91"/>
                <w:sz w:val="18"/>
              </w:rPr>
              <w:t>22.0 °C</w:t>
            </w:r>
          </w:p>
        </w:tc>
      </w:tr>
      <w:tr>
        <w:tc>
          <w:tcPr>
            <w:tcW w:type="dxa" w:w="4680"/>
            <w:shd w:val="clear" w:color="auto" w:fill="FFFFFF"/>
          </w:tcPr>
          <w:p>
            <w:pPr>
              <w:jc w:val="left"/>
            </w:pPr>
            <w:r>
              <w:rPr>
                <w:rFonts w:ascii="Calibri" w:hAnsi="Calibri"/>
                <w:b w:val="0"/>
                <w:i w:val="0"/>
                <w:sz w:val="18"/>
              </w:rPr>
              <w:t>Activity Factor (ASHRAE preset — occupancy switch outdoors)</w:t>
            </w:r>
          </w:p>
        </w:tc>
        <w:tc>
          <w:tcPr>
            <w:tcW w:type="dxa" w:w="4680"/>
            <w:shd w:val="clear" w:color="auto" w:fill="FFFFFF"/>
          </w:tcPr>
          <w:p>
            <w:pPr>
              <w:jc w:val="left"/>
            </w:pPr>
            <w:r>
              <w:rPr>
                <w:rFonts w:ascii="Calibri" w:hAnsi="Calibri"/>
                <w:b/>
                <w:i w:val="0"/>
                <w:color w:val="0B3D91"/>
                <w:sz w:val="18"/>
              </w:rPr>
              <w:t>0.5</w:t>
            </w:r>
          </w:p>
        </w:tc>
      </w:tr>
      <w:tr>
        <w:tc>
          <w:tcPr>
            <w:tcW w:type="dxa" w:w="4680"/>
            <w:shd w:val="clear" w:color="auto" w:fill="EFF9FC"/>
          </w:tcPr>
          <w:p>
            <w:pPr>
              <w:jc w:val="left"/>
            </w:pPr>
            <w:r>
              <w:rPr>
                <w:rFonts w:ascii="Calibri" w:hAnsi="Calibri"/>
                <w:b w:val="0"/>
                <w:i w:val="0"/>
                <w:sz w:val="18"/>
              </w:rPr>
              <w:t>Occupancy (Shah 2014)</w:t>
            </w:r>
          </w:p>
        </w:tc>
        <w:tc>
          <w:tcPr>
            <w:tcW w:type="dxa" w:w="4680"/>
            <w:shd w:val="clear" w:color="auto" w:fill="EFF9FC"/>
          </w:tcPr>
          <w:p>
            <w:pPr>
              <w:jc w:val="left"/>
            </w:pPr>
            <w:r>
              <w:rPr>
                <w:rFonts w:ascii="Calibri" w:hAnsi="Calibri"/>
                <w:b/>
                <w:i w:val="0"/>
                <w:color w:val="0B3D91"/>
                <w:sz w:val="18"/>
              </w:rPr>
              <w:t>Unoccupied — Eq. (7) only</w:t>
            </w:r>
          </w:p>
        </w:tc>
      </w:tr>
      <w:tr>
        <w:tc>
          <w:tcPr>
            <w:tcW w:type="dxa" w:w="4680"/>
            <w:shd w:val="clear" w:color="auto" w:fill="FFFFFF"/>
          </w:tcPr>
          <w:p>
            <w:pPr>
              <w:jc w:val="left"/>
            </w:pPr>
            <w:r>
              <w:rPr>
                <w:rFonts w:ascii="Calibri" w:hAnsi="Calibri"/>
                <w:b w:val="0"/>
                <w:i w:val="0"/>
                <w:sz w:val="18"/>
              </w:rPr>
              <w:t>Initial Heating Period</w:t>
            </w:r>
          </w:p>
        </w:tc>
        <w:tc>
          <w:tcPr>
            <w:tcW w:type="dxa" w:w="4680"/>
            <w:shd w:val="clear" w:color="auto" w:fill="FFFFFF"/>
          </w:tcPr>
          <w:p>
            <w:pPr>
              <w:jc w:val="left"/>
            </w:pPr>
            <w:r>
              <w:rPr>
                <w:rFonts w:ascii="Calibri" w:hAnsi="Calibri"/>
                <w:b/>
                <w:i w:val="0"/>
                <w:color w:val="0B3D91"/>
                <w:sz w:val="18"/>
              </w:rPr>
              <w:t>72.0 h</w:t>
            </w:r>
          </w:p>
        </w:tc>
      </w:tr>
      <w:tr>
        <w:tc>
          <w:tcPr>
            <w:tcW w:type="dxa" w:w="4680"/>
            <w:shd w:val="clear" w:color="auto" w:fill="EFF9FC"/>
          </w:tcPr>
          <w:p>
            <w:pPr>
              <w:jc w:val="left"/>
            </w:pPr>
            <w:r>
              <w:rPr>
                <w:rFonts w:ascii="Calibri" w:hAnsi="Calibri"/>
                <w:b w:val="0"/>
                <w:i w:val="0"/>
                <w:sz w:val="18"/>
              </w:rPr>
              <w:t>Initial Cooling Period</w:t>
            </w:r>
          </w:p>
        </w:tc>
        <w:tc>
          <w:tcPr>
            <w:tcW w:type="dxa" w:w="4680"/>
            <w:shd w:val="clear" w:color="auto" w:fill="EFF9FC"/>
          </w:tcPr>
          <w:p>
            <w:pPr>
              <w:jc w:val="left"/>
            </w:pPr>
            <w:r>
              <w:rPr>
                <w:rFonts w:ascii="Calibri" w:hAnsi="Calibri"/>
                <w:b/>
                <w:i w:val="0"/>
                <w:color w:val="0B3D91"/>
                <w:sz w:val="18"/>
              </w:rPr>
              <w:t>48.0 h</w:t>
            </w:r>
          </w:p>
        </w:tc>
      </w:tr>
      <w:tr>
        <w:tc>
          <w:tcPr>
            <w:tcW w:type="dxa" w:w="4680"/>
            <w:shd w:val="clear" w:color="auto" w:fill="FFFFFF"/>
          </w:tcPr>
          <w:p>
            <w:pPr>
              <w:jc w:val="left"/>
            </w:pPr>
            <w:r>
              <w:rPr>
                <w:rFonts w:ascii="Calibri" w:hAnsi="Calibri"/>
                <w:b w:val="0"/>
                <w:i w:val="0"/>
                <w:sz w:val="18"/>
              </w:rPr>
              <w:t>Pool Cover (winter)</w:t>
            </w:r>
          </w:p>
        </w:tc>
        <w:tc>
          <w:tcPr>
            <w:tcW w:type="dxa" w:w="4680"/>
            <w:shd w:val="clear" w:color="auto" w:fill="FFFFFF"/>
          </w:tcPr>
          <w:p>
            <w:pPr>
              <w:jc w:val="left"/>
            </w:pPr>
            <w:r>
              <w:rPr>
                <w:rFonts w:ascii="Calibri" w:hAnsi="Calibri"/>
                <w:b/>
                <w:i w:val="0"/>
                <w:color w:val="0B3D91"/>
                <w:sz w:val="18"/>
              </w:rPr>
              <w:t>No</w:t>
            </w:r>
          </w:p>
        </w:tc>
      </w:tr>
      <w:tr>
        <w:tc>
          <w:tcPr>
            <w:tcW w:type="dxa" w:w="4680"/>
            <w:shd w:val="clear" w:color="auto" w:fill="EFF9FC"/>
          </w:tcPr>
          <w:p>
            <w:pPr>
              <w:jc w:val="left"/>
            </w:pPr>
            <w:r>
              <w:rPr>
                <w:rFonts w:ascii="Calibri" w:hAnsi="Calibri"/>
                <w:b w:val="0"/>
                <w:i w:val="0"/>
                <w:sz w:val="18"/>
              </w:rPr>
              <w:t>Plot Type</w:t>
            </w:r>
          </w:p>
        </w:tc>
        <w:tc>
          <w:tcPr>
            <w:tcW w:type="dxa" w:w="4680"/>
            <w:shd w:val="clear" w:color="auto" w:fill="EFF9FC"/>
          </w:tcPr>
          <w:p>
            <w:pPr>
              <w:jc w:val="left"/>
            </w:pPr>
            <w:r>
              <w:rPr>
                <w:rFonts w:ascii="Calibri" w:hAnsi="Calibri"/>
                <w:b/>
                <w:i w:val="0"/>
                <w:color w:val="0B3D91"/>
                <w:sz w:val="18"/>
              </w:rPr>
              <w:t>Average Daily</w:t>
            </w:r>
          </w:p>
        </w:tc>
      </w:tr>
    </w:tbl>
    <w:p/>
    <w:p>
      <w:pPr>
        <w:pStyle w:val="Heading1"/>
        <w:pBdr>
          <w:bottom w:val="single" w:sz="6" w:space="4" w:color="0A2540"/>
        </w:pBdr>
      </w:pPr>
      <w:r>
        <w:rPr>
          <w:rFonts w:ascii="Calibri" w:hAnsi="Calibri"/>
          <w:b/>
          <w:color w:val="0A2540"/>
          <w:sz w:val="26"/>
        </w:rPr>
        <w:t>3.  Design Assumptions</w:t>
      </w:r>
    </w:p>
    <w:p>
      <w:pPr>
        <w:pStyle w:val="ListBullet"/>
      </w:pPr>
      <w:r>
        <w:rPr>
          <w:rFonts w:ascii="Calibri" w:hAnsi="Calibri"/>
          <w:color w:val="374151"/>
          <w:sz w:val="18"/>
        </w:rPr>
        <w:t>Pool is outdoor, unenclosed. Open-Meteo 10 m wind is scaled by the library wind-sheltering factor (default 1.0 = fully exposed) to the near-pool wind before it feeds the evaporation and convection terms, correcting for the height/exposure gap vs. Shah's 0.3 m measurement basis. Full exposure is the higher load for HEATING only: more wind means more evaporation, which LOWERS the summer cooling duty (engineer ruling C068).</w:t>
      </w:r>
    </w:p>
    <w:p>
      <w:pPr>
        <w:pStyle w:val="ListBullet"/>
      </w:pPr>
      <w:r>
        <w:rPr>
          <w:rFonts w:ascii="Calibri" w:hAnsi="Calibri"/>
          <w:color w:val="374151"/>
          <w:sz w:val="18"/>
        </w:rPr>
        <w:t>Heating design basis: unoccupied (Shah Eq. (7)); 10 m wind x sheltering 1 (library value); the ASHRAE calm-air evaporation floor (ruling D29); zero solar. Together these are high-load choices for the heating size; sheltering 1.0 LOWERS the summer cooling duty (more wind, more evaporation) (ruling C068). Hourly heating (peak, energy) acts only when the water would fall below the winter set-point 26.0 °C and hourly cooling only when it would rise above the summer set-point 30.0 °C, in every month; the water floats between them (engineer rulings 29.09.2026, heat to the winter set-point all year; cool only above the summer set-point); the heating and cooling sizes are unchanged by it (heating q2 at the winter set-point on the coldest-season means, cooling q2 at the summer set-point on the hottest-month means). Cooling design basis: hottest-month mean (engineer ruling 29.09.2026 R3) - August 2024, the calendar month of the simulated period with the highest cooling gain at its mean conditions (mean air temperature, RH, wind and solar; summer set-point and make-up temperature), taken in the governing occupancy state. Cooling design duty: pool unoccupied (Shah Eq. (7)): cooling q2 0.00 kW (August 2024). Cooling units are counted at the catalogue cooling capacity at its rating air temperature; the datasheets print less at hotter air (e.g. Inverter Max BYC-103TA1 58 kW at air 35 degC, 42 kW at 46 degC, datasheet p. 1) and no derate is applied.</w:t>
      </w:r>
    </w:p>
    <w:p>
      <w:pPr>
        <w:pStyle w:val="ListBullet"/>
      </w:pPr>
      <w:r>
        <w:rPr>
          <w:rFonts w:ascii="Calibri" w:hAnsi="Calibri"/>
          <w:color w:val="374151"/>
          <w:sz w:val="18"/>
        </w:rPr>
        <w:t>Unoccupied pool: no opening hours apply (Eq. (7) on every hour).</w:t>
      </w:r>
    </w:p>
    <w:p>
      <w:pPr>
        <w:pStyle w:val="ListBullet"/>
      </w:pPr>
      <w:r>
        <w:rPr>
          <w:rFonts w:ascii="Calibri" w:hAnsi="Calibri"/>
          <w:color w:val="374151"/>
          <w:sz w:val="18"/>
        </w:rPr>
        <w:t>Water surface temperature equals the desired (set-point) temperature at all times (steady-state heat balance per hour).</w:t>
      </w:r>
    </w:p>
    <w:p>
      <w:pPr>
        <w:pStyle w:val="ListBullet"/>
      </w:pPr>
      <w:r>
        <w:rPr>
          <w:rFonts w:ascii="Calibri" w:hAnsi="Calibri"/>
          <w:color w:val="374151"/>
          <w:sz w:val="18"/>
        </w:rPr>
        <w:t>Solar absorptivity of water = 0.9 (library value; engineering value — open water absorbs approx. 85–95% of incident shortwave radiation).</w:t>
      </w:r>
    </w:p>
    <w:p>
      <w:pPr>
        <w:pStyle w:val="ListBullet"/>
      </w:pPr>
      <w:r>
        <w:rPr>
          <w:rFonts w:ascii="Calibri" w:hAnsi="Calibri"/>
          <w:color w:val="374151"/>
          <w:sz w:val="18"/>
        </w:rPr>
        <w:t>Longwave emissivity of water surface = 0.95 (library value; open-water value).</w:t>
      </w:r>
    </w:p>
    <w:p>
      <w:pPr>
        <w:pStyle w:val="ListBullet"/>
      </w:pPr>
      <w:r>
        <w:rPr>
          <w:rFonts w:ascii="Calibri" w:hAnsi="Calibri"/>
          <w:color w:val="374151"/>
          <w:sz w:val="18"/>
        </w:rPr>
        <w:t>Sky temperature computed by Swinbank (1963): T_sky_K = 0.0552·T_amb_K^1.5, applied to every hour as a clear sky (primary paper not held in ref; conservative on the heating side).</w:t>
      </w:r>
    </w:p>
    <w:p>
      <w:pPr>
        <w:pStyle w:val="ListBullet"/>
      </w:pPr>
      <w:r>
        <w:rPr>
          <w:rFonts w:ascii="Calibri" w:hAnsi="Calibri"/>
          <w:color w:val="374151"/>
          <w:sz w:val="18"/>
        </w:rPr>
        <w:t>Pool cover reduces net heat loss by 60% during specified cover hours in the heating season (industry bubble-cover range 50–70%; not attributed to a specific ASHRAE clause).</w:t>
      </w:r>
    </w:p>
    <w:p>
      <w:pPr>
        <w:pStyle w:val="ListBullet"/>
      </w:pPr>
      <w:r>
        <w:rPr>
          <w:rFonts w:ascii="Calibri" w:hAnsi="Calibri"/>
          <w:color w:val="374151"/>
          <w:sz w:val="18"/>
        </w:rPr>
        <w:t>Makeup water replaces evaporative losses at the specified seasonal makeup temperature and must be heated to the desired pool temperature.</w:t>
      </w:r>
    </w:p>
    <w:p>
      <w:pPr>
        <w:pStyle w:val="ListBullet"/>
      </w:pPr>
      <w:r>
        <w:rPr>
          <w:rFonts w:ascii="Calibri" w:hAnsi="Calibri"/>
          <w:color w:val="374151"/>
          <w:sz w:val="18"/>
        </w:rPr>
        <w:t>Heating and cooling seasons are auto-detected as the coldest and hottest 3 months of the fetched weather (hemisphere-agnostic). Hourly heating acts only when the water would fall below the winter set-point and hourly cooling only when it would rise above the summer set-point, in every month; between the two set-points the water floats.</w:t>
      </w:r>
    </w:p>
    <w:p>
      <w:pPr>
        <w:pStyle w:val="ListBullet"/>
      </w:pPr>
      <w:r>
        <w:rPr>
          <w:rFonts w:ascii="Calibri" w:hAnsi="Calibri"/>
          <w:color w:val="374151"/>
          <w:sz w:val="18"/>
        </w:rPr>
        <w:t>Equipment sizing = initial heat-up power (q1) + maintenance load at the mean design ambient (q2): heating at the coldest-season mean, cooling at the mean of the hottest month, August 2024 — the pool-industry convention this tool applies, not a cited clause. q1 is DIRECTED: a winter initial temperature above its set-point adds no heat-up power and a summer initial temperature below its set-point adds no cool-down power (engineer ruling D26, 2026-09-22).</w:t>
      </w:r>
    </w:p>
    <w:p>
      <w:pPr>
        <w:pStyle w:val="ListBullet"/>
      </w:pPr>
      <w:r>
        <w:rPr>
          <w:rFonts w:ascii="Calibri" w:hAnsi="Calibri"/>
          <w:color w:val="374151"/>
          <w:sz w:val="18"/>
        </w:rPr>
        <w:t>The pool cover is not applied to the equipment size: the heating plant is sized on the uncovered load (it must hold set-point with the cover off); the cover changes the annual energy only (engineer ruling D25, 2026-09-22).</w:t>
      </w:r>
    </w:p>
    <w:p>
      <w:pPr>
        <w:pStyle w:val="ListBullet"/>
      </w:pPr>
      <w:r>
        <w:rPr>
          <w:rFonts w:ascii="Calibri" w:hAnsi="Calibri"/>
          <w:color w:val="374151"/>
          <w:sz w:val="18"/>
        </w:rPr>
        <w:t>Outdoor evaporation: Shah 2014 Eq. (7), p. 8, floored by ASHRAE 2007 Ch. 4 Eq. 1 at zero wind (engineer extension; Shah p. 9 and Table 14 p. 13 take the largest of his own Eq. (1), (2) and (7)) (unoccupied outdoor pool). The ASHRAE activity factor is not applied outdoors (engineer ruling 19a-4, 2026-09-05); the preset only selects occupied / unoccupied.</w:t>
      </w:r>
    </w:p>
    <w:p>
      <w:pPr>
        <w:pStyle w:val="ListBullet"/>
      </w:pPr>
      <w:r>
        <w:rPr>
          <w:rFonts w:ascii="Calibri" w:hAnsi="Calibri"/>
          <w:color w:val="374151"/>
          <w:sz w:val="18"/>
        </w:rPr>
        <w:t>Conduction through the pool shell and to the ground is NOT modelled (surface heat balance only). For an in-ground basin this is usually a few percent of the surface load; for an above-ground or poorly insulated shell add a conduction allowance to the heating side.</w:t>
      </w:r>
    </w:p>
    <w:p>
      <w:pPr>
        <w:pStyle w:val="ListBullet"/>
      </w:pPr>
      <w:r>
        <w:rPr>
          <w:rFonts w:ascii="Calibri" w:hAnsi="Calibri"/>
          <w:color w:val="374151"/>
          <w:sz w:val="18"/>
        </w:rPr>
        <w:t>The occupancy multiplier is applied to the WHOLE water surface — this tool models a single basin of one type; a multi-feature pool should be run per feature area and the loads summed.</w:t>
      </w:r>
    </w:p>
    <w:p>
      <w:pPr>
        <w:pStyle w:val="ListBullet"/>
      </w:pPr>
      <w:r>
        <w:rPr>
          <w:rFonts w:ascii="Calibri" w:hAnsi="Calibri"/>
          <w:color w:val="374151"/>
          <w:sz w:val="18"/>
        </w:rPr>
        <w:t>Hourly weather stamps are the site local clock (local time at the site (Asia/Dubai)); the cover window and the HP daily off-window are evaluated on that clock, so the schedules printed in this report are the ones the simulation applied.</w:t>
      </w:r>
    </w:p>
    <w:p>
      <w:pPr>
        <w:pStyle w:val="ListBullet"/>
      </w:pPr>
      <w:r>
        <w:rPr>
          <w:rFonts w:ascii="Calibri" w:hAnsi="Calibri"/>
          <w:color w:val="374151"/>
          <w:sz w:val="18"/>
        </w:rPr>
        <w:t>Code compliance — ISPSC 2021 #303.1.3: outdoor heated pools require a vapor-retardant cover UNLESS more than 70% of the seasonal heating energy is from a heat pump or solar source. This design specifies heat-pump plant as the heating source; the exception applies only if that plant supplies more than 70% of the SEASONAL heating energy — verify the seasonal energy split (including any auxiliary/backup heat) before relying on the exemption. A cover remains beneficial for evaporation/energy control regardless.</w:t>
      </w:r>
    </w:p>
    <w:p>
      <w:pPr>
        <w:pStyle w:val="Heading1"/>
        <w:pBdr>
          <w:bottom w:val="single" w:sz="6" w:space="4" w:color="0A2540"/>
        </w:pBdr>
      </w:pPr>
      <w:r>
        <w:rPr>
          <w:rFonts w:ascii="Calibri" w:hAnsi="Calibri"/>
          <w:b/>
          <w:color w:val="0A2540"/>
          <w:sz w:val="26"/>
        </w:rPr>
        <w:t>4.  Step-by-Step Calculation</w:t>
      </w:r>
    </w:p>
    <w:p>
      <w:r>
        <w:rPr>
          <w:rFonts w:ascii="Calibri" w:hAnsi="Calibri"/>
          <w:b/>
          <w:color w:val="0A2540"/>
          <w:sz w:val="22"/>
        </w:rPr>
        <w:t>4.1  Saturation Vapour Pressure</w:t>
      </w:r>
    </w:p>
    <w:tbl>
      <w:tblPr>
        <w:tblStyle w:val="TableGrid"/>
        <w:tblW w:type="auto" w:w="0"/>
        <w:tblLook w:firstColumn="1" w:firstRow="1" w:lastColumn="0" w:lastRow="0" w:noHBand="0" w:noVBand="1" w:val="04A0"/>
      </w:tblPr>
      <w:tblGrid>
        <w:gridCol w:w="9360"/>
      </w:tblGrid>
      <w:tr>
        <w:tc>
          <w:tcPr>
            <w:tcW w:type="dxa" w:w="9360"/>
            <w:shd w:val="clear" w:color="auto" w:fill="0A2540"/>
            <w:tcMar>
              <w:top w:w="80" w:type="dxa"/>
              <w:bottom w:w="80" w:type="dxa"/>
              <w:left w:w="80" w:type="dxa"/>
              <w:right w:w="80" w:type="dxa"/>
            </w:tcMar>
          </w:tcPr>
          <w:p>
            <w:r>
              <w:rPr>
                <w:rFonts w:ascii="Calibri" w:hAnsi="Calibri"/>
                <w:b/>
                <w:i w:val="0"/>
                <w:color w:val="FFFFFF"/>
                <w:sz w:val="20"/>
              </w:rPr>
              <w:t xml:space="preserve">  Step 1:  Arden Buck (1981) Equation</w:t>
            </w:r>
          </w:p>
        </w:tc>
      </w:tr>
      <w:tr>
        <w:tc>
          <w:tcPr>
            <w:tcW w:type="dxa" w:w="9360"/>
            <w:shd w:val="clear" w:color="auto" w:fill="CCF0FA"/>
            <w:tcMar>
              <w:top w:w="80" w:type="dxa"/>
              <w:bottom w:w="80" w:type="dxa"/>
              <w:left w:w="80" w:type="dxa"/>
              <w:right w:w="80" w:type="dxa"/>
            </w:tcMar>
          </w:tcPr>
          <w:p>
            <w:r>
              <w:rPr>
                <w:rFonts w:ascii="Calibri" w:hAnsi="Calibri"/>
                <w:b w:val="0"/>
                <w:i/>
                <w:color w:val="0B3D91"/>
                <w:sz w:val="18"/>
              </w:rPr>
              <w:t xml:space="preserve">  Formula:        P_sat = 0.61121 × exp[(18.564 − T/254.4) × T/(255.57+T)]  [kPa]</w:t>
            </w:r>
          </w:p>
        </w:tc>
      </w:tr>
      <w:tr>
        <w:tc>
          <w:tcPr>
            <w:tcW w:type="dxa" w:w="9360"/>
            <w:shd w:val="clear" w:color="auto" w:fill="FFFFFF"/>
            <w:tcMar>
              <w:top w:w="80" w:type="dxa"/>
              <w:bottom w:w="80" w:type="dxa"/>
              <w:left w:w="80" w:type="dxa"/>
              <w:right w:w="80" w:type="dxa"/>
            </w:tcMar>
          </w:tcPr>
          <w:p>
            <w:r>
              <w:rPr>
                <w:rFonts w:ascii="Calibri" w:hAnsi="Calibri"/>
                <w:b w:val="0"/>
                <w:i w:val="0"/>
                <w:color w:val="374151"/>
                <w:sz w:val="18"/>
              </w:rPr>
              <w:t xml:space="preserve">  Substitution:  Applied at pool surface temp T_w and ambient temp T_a each hour</w:t>
            </w:r>
          </w:p>
        </w:tc>
      </w:tr>
      <w:tr>
        <w:tc>
          <w:tcPr>
            <w:tcW w:type="dxa" w:w="9360"/>
            <w:shd w:val="clear" w:color="auto" w:fill="E8F8FD"/>
            <w:tcMar>
              <w:top w:w="80" w:type="dxa"/>
              <w:bottom w:w="80" w:type="dxa"/>
              <w:left w:w="80" w:type="dxa"/>
              <w:right w:w="80" w:type="dxa"/>
            </w:tcMar>
          </w:tcPr>
          <w:p>
            <w:r>
              <w:rPr>
                <w:rFonts w:ascii="Calibri" w:hAnsi="Calibri"/>
                <w:b/>
                <w:i w:val="0"/>
                <w:color w:val="0A2540"/>
                <w:sz w:val="20"/>
              </w:rPr>
              <w:t xml:space="preserve">  Result:          P_w, P_a [kPa] → converted to [Pa] for evaporation formula</w:t>
            </w:r>
          </w:p>
        </w:tc>
      </w:tr>
      <w:tr>
        <w:tc>
          <w:tcPr>
            <w:tcW w:type="dxa" w:w="9360"/>
            <w:shd w:val="clear" w:color="auto" w:fill="FFF8E7"/>
            <w:tcMar>
              <w:top w:w="80" w:type="dxa"/>
              <w:bottom w:w="80" w:type="dxa"/>
              <w:left w:w="80" w:type="dxa"/>
              <w:right w:w="80" w:type="dxa"/>
            </w:tcMar>
          </w:tcPr>
          <w:p>
            <w:r>
              <w:rPr>
                <w:rFonts w:ascii="Calibri" w:hAnsi="Calibri"/>
                <w:b w:val="0"/>
                <w:i/>
                <w:color w:val="6B7280"/>
                <w:sz w:val="16"/>
              </w:rPr>
              <w:t xml:space="preserve">  Note: More accurate than Antoine equation near 0°C; separate formula for T &lt; 0°C over ice.</w:t>
            </w:r>
          </w:p>
        </w:tc>
      </w:tr>
    </w:tbl>
    <w:p/>
    <w:p>
      <w:r>
        <w:rPr>
          <w:rFonts w:ascii="Calibri" w:hAnsi="Calibri"/>
          <w:b/>
          <w:color w:val="0A2540"/>
          <w:sz w:val="22"/>
        </w:rPr>
        <w:t>4.2  Evaporation Loss</w:t>
      </w:r>
    </w:p>
    <w:tbl>
      <w:tblPr>
        <w:tblStyle w:val="TableGrid"/>
        <w:tblW w:type="auto" w:w="0"/>
        <w:tblLook w:firstColumn="1" w:firstRow="1" w:lastColumn="0" w:lastRow="0" w:noHBand="0" w:noVBand="1" w:val="04A0"/>
      </w:tblPr>
      <w:tblGrid>
        <w:gridCol w:w="9360"/>
      </w:tblGrid>
      <w:tr>
        <w:tc>
          <w:tcPr>
            <w:tcW w:type="dxa" w:w="9360"/>
            <w:shd w:val="clear" w:color="auto" w:fill="0A2540"/>
            <w:tcMar>
              <w:top w:w="80" w:type="dxa"/>
              <w:bottom w:w="80" w:type="dxa"/>
              <w:left w:w="80" w:type="dxa"/>
              <w:right w:w="80" w:type="dxa"/>
            </w:tcMar>
          </w:tcPr>
          <w:p>
            <w:r>
              <w:rPr>
                <w:rFonts w:ascii="Calibri" w:hAnsi="Calibri"/>
                <w:b/>
                <w:i w:val="0"/>
                <w:color w:val="FFFFFF"/>
                <w:sz w:val="20"/>
              </w:rPr>
              <w:t xml:space="preserve">  Step 2:  Shah (2014) Eq. (7) — Wind-Driven Evaporation (unoccupied)</w:t>
            </w:r>
          </w:p>
        </w:tc>
      </w:tr>
      <w:tr>
        <w:tc>
          <w:tcPr>
            <w:tcW w:type="dxa" w:w="9360"/>
            <w:shd w:val="clear" w:color="auto" w:fill="CCF0FA"/>
            <w:tcMar>
              <w:top w:w="80" w:type="dxa"/>
              <w:bottom w:w="80" w:type="dxa"/>
              <w:left w:w="80" w:type="dxa"/>
              <w:right w:w="80" w:type="dxa"/>
            </w:tcMar>
          </w:tcPr>
          <w:p>
            <w:r>
              <w:rPr>
                <w:rFonts w:ascii="Calibri" w:hAnsi="Calibri"/>
                <w:b w:val="0"/>
                <w:i/>
                <w:color w:val="0B3D91"/>
                <w:sz w:val="18"/>
              </w:rPr>
              <w:t xml:space="preserve">  Formula:        E0 = a × (u/b)^0.7 × max(P_w − P_a, 0)  [kg/(h·m²), P in Pa];  E0 = max(E_wind, E_calm)</w:t>
              <w:br/>
              <w:t>Q_evap = E × A × L / 3600  [kW]</w:t>
            </w:r>
          </w:p>
        </w:tc>
      </w:tr>
      <w:tr>
        <w:tc>
          <w:tcPr>
            <w:tcW w:type="dxa" w:w="9360"/>
            <w:shd w:val="clear" w:color="auto" w:fill="FFFFFF"/>
            <w:tcMar>
              <w:top w:w="80" w:type="dxa"/>
              <w:bottom w:w="80" w:type="dxa"/>
              <w:left w:w="80" w:type="dxa"/>
              <w:right w:w="80" w:type="dxa"/>
            </w:tcMar>
          </w:tcPr>
          <w:p>
            <w:r>
              <w:rPr>
                <w:rFonts w:ascii="Calibri" w:hAnsi="Calibri"/>
                <w:b w:val="0"/>
                <w:i w:val="0"/>
                <w:color w:val="374151"/>
                <w:sz w:val="18"/>
              </w:rPr>
              <w:t xml:space="preserve">  Substitution:  a=5×10⁻⁵, b=0.15 m/s (ref. wind), A=150.0 m², L = 2501−2.36×T_w  [kJ/kg] (T_w in °C — internal SI basis)</w:t>
              <w:br/>
              <w:t>Unoccupied pool: no occupancy multiplier; the ASHRAE activity factor is not applied outdoors</w:t>
            </w:r>
          </w:p>
        </w:tc>
      </w:tr>
      <w:tr>
        <w:tc>
          <w:tcPr>
            <w:tcW w:type="dxa" w:w="9360"/>
            <w:shd w:val="clear" w:color="auto" w:fill="E8F8FD"/>
            <w:tcMar>
              <w:top w:w="80" w:type="dxa"/>
              <w:bottom w:w="80" w:type="dxa"/>
              <w:left w:w="80" w:type="dxa"/>
              <w:right w:w="80" w:type="dxa"/>
            </w:tcMar>
          </w:tcPr>
          <w:p>
            <w:r>
              <w:rPr>
                <w:rFonts w:ascii="Calibri" w:hAnsi="Calibri"/>
                <w:b/>
                <w:i w:val="0"/>
                <w:color w:val="0A2540"/>
                <w:sz w:val="20"/>
              </w:rPr>
              <w:t xml:space="preserve">  Result:          E = 0.8352 kg/(h·m²) at the heating design condition  -&gt;  Q_evap = 84.90 kW  (72% of the surface losses)</w:t>
            </w:r>
          </w:p>
        </w:tc>
      </w:tr>
      <w:tr>
        <w:tc>
          <w:tcPr>
            <w:tcW w:type="dxa" w:w="9360"/>
            <w:shd w:val="clear" w:color="auto" w:fill="FFF8E7"/>
            <w:tcMar>
              <w:top w:w="80" w:type="dxa"/>
              <w:bottom w:w="80" w:type="dxa"/>
              <w:left w:w="80" w:type="dxa"/>
              <w:right w:w="80" w:type="dxa"/>
            </w:tcMar>
          </w:tcPr>
          <w:p>
            <w:r>
              <w:rPr>
                <w:rFonts w:ascii="Calibri" w:hAnsi="Calibri"/>
                <w:b w:val="0"/>
                <w:i/>
                <w:color w:val="6B7280"/>
                <w:sz w:val="16"/>
              </w:rPr>
              <w:t xml:space="preserve">  Note: Method: Shah 2014 Eq. (7), p. 8, floored by ASHRAE 2007 Ch. 4 Eq. 1 at zero wind (engineer extension; Shah p. 9 and Table 14 p. 13 take the largest of his own Eq. (1), (2) and (7)) (unoccupied outdoor pool). Wind exponent 0.7 (Shah 2014, SE-14-001 Eq. (7), p. 8). At light wind the calm natural-convection value (ASHRAE 2007 Ch. 4 Eq. 1) floors the result - an engineer extension (ruling D29): Shah p. 9 / Table 14 take the largest of his own Eq. (1), (2), (7). Air wetter than the pool (P_a &gt; P_w) floors evaporation at 0; that gain is not credited (disclosed under Warnings when it occurs).</w:t>
            </w:r>
          </w:p>
        </w:tc>
      </w:tr>
    </w:tbl>
    <w:p/>
    <w:p>
      <w:r>
        <w:rPr>
          <w:rFonts w:ascii="Calibri" w:hAnsi="Calibri"/>
          <w:b/>
          <w:color w:val="0A2540"/>
          <w:sz w:val="22"/>
        </w:rPr>
        <w:t>4.3  Convective Heat Loss</w:t>
      </w:r>
    </w:p>
    <w:tbl>
      <w:tblPr>
        <w:tblStyle w:val="TableGrid"/>
        <w:tblW w:type="auto" w:w="0"/>
        <w:tblLook w:firstColumn="1" w:firstRow="1" w:lastColumn="0" w:lastRow="0" w:noHBand="0" w:noVBand="1" w:val="04A0"/>
      </w:tblPr>
      <w:tblGrid>
        <w:gridCol w:w="9360"/>
      </w:tblGrid>
      <w:tr>
        <w:tc>
          <w:tcPr>
            <w:tcW w:type="dxa" w:w="9360"/>
            <w:shd w:val="clear" w:color="auto" w:fill="0A2540"/>
            <w:tcMar>
              <w:top w:w="80" w:type="dxa"/>
              <w:bottom w:w="80" w:type="dxa"/>
              <w:left w:w="80" w:type="dxa"/>
              <w:right w:w="80" w:type="dxa"/>
            </w:tcMar>
          </w:tcPr>
          <w:p>
            <w:r>
              <w:rPr>
                <w:rFonts w:ascii="Calibri" w:hAnsi="Calibri"/>
                <w:b/>
                <w:i w:val="0"/>
                <w:color w:val="FFFFFF"/>
                <w:sz w:val="20"/>
              </w:rPr>
              <w:t xml:space="preserve">  Step 3:  McAdams (1954) Forced Convection</w:t>
            </w:r>
          </w:p>
        </w:tc>
      </w:tr>
      <w:tr>
        <w:tc>
          <w:tcPr>
            <w:tcW w:type="dxa" w:w="9360"/>
            <w:shd w:val="clear" w:color="auto" w:fill="CCF0FA"/>
            <w:tcMar>
              <w:top w:w="80" w:type="dxa"/>
              <w:bottom w:w="80" w:type="dxa"/>
              <w:left w:w="80" w:type="dxa"/>
              <w:right w:w="80" w:type="dxa"/>
            </w:tcMar>
          </w:tcPr>
          <w:p>
            <w:r>
              <w:rPr>
                <w:rFonts w:ascii="Calibri" w:hAnsi="Calibri"/>
                <w:b w:val="0"/>
                <w:i/>
                <w:color w:val="0B3D91"/>
                <w:sz w:val="18"/>
              </w:rPr>
              <w:t xml:space="preserve">  Formula:        h_cv = 5.68 + 3.94·u  [W/(m²·°C), u in m/s]</w:t>
              <w:br/>
              <w:t>Q_conv = h_cv × A × (T_w − T_a) / 1000  [kW]</w:t>
            </w:r>
          </w:p>
        </w:tc>
      </w:tr>
      <w:tr>
        <w:tc>
          <w:tcPr>
            <w:tcW w:type="dxa" w:w="9360"/>
            <w:shd w:val="clear" w:color="auto" w:fill="FFFFFF"/>
            <w:tcMar>
              <w:top w:w="80" w:type="dxa"/>
              <w:bottom w:w="80" w:type="dxa"/>
              <w:left w:w="80" w:type="dxa"/>
              <w:right w:w="80" w:type="dxa"/>
            </w:tcMar>
          </w:tcPr>
          <w:p>
            <w:r>
              <w:rPr>
                <w:rFonts w:ascii="Calibri" w:hAnsi="Calibri"/>
                <w:b w:val="0"/>
                <w:i w:val="0"/>
                <w:color w:val="374151"/>
                <w:sz w:val="18"/>
              </w:rPr>
              <w:t xml:space="preserve">  Substitution:  A = 150.0 m²; u = hourly wind speed [m/s - the coefficients are SI]; at the heating design condition u = 3.65 m/s -&gt; h_cv = 20.07 W/(m²·°C)</w:t>
            </w:r>
          </w:p>
        </w:tc>
      </w:tr>
      <w:tr>
        <w:tc>
          <w:tcPr>
            <w:tcW w:type="dxa" w:w="9360"/>
            <w:shd w:val="clear" w:color="auto" w:fill="E8F8FD"/>
            <w:tcMar>
              <w:top w:w="80" w:type="dxa"/>
              <w:bottom w:w="80" w:type="dxa"/>
              <w:left w:w="80" w:type="dxa"/>
              <w:right w:w="80" w:type="dxa"/>
            </w:tcMar>
          </w:tcPr>
          <w:p>
            <w:r>
              <w:rPr>
                <w:rFonts w:ascii="Calibri" w:hAnsi="Calibri"/>
                <w:b/>
                <w:i w:val="0"/>
                <w:color w:val="0A2540"/>
                <w:sz w:val="20"/>
              </w:rPr>
              <w:t xml:space="preserve">  Result:          Q_conv = 16.10 kW at the design condition (14% of the surface losses). Positive = heat loss (when T_pool &gt; T_air).</w:t>
            </w:r>
          </w:p>
        </w:tc>
      </w:tr>
      <w:tr>
        <w:tc>
          <w:tcPr>
            <w:tcW w:type="dxa" w:w="9360"/>
            <w:shd w:val="clear" w:color="auto" w:fill="FFF8E7"/>
            <w:tcMar>
              <w:top w:w="80" w:type="dxa"/>
              <w:bottom w:w="80" w:type="dxa"/>
              <w:left w:w="80" w:type="dxa"/>
              <w:right w:w="80" w:type="dxa"/>
            </w:tcMar>
          </w:tcPr>
          <w:p>
            <w:r>
              <w:rPr>
                <w:rFonts w:ascii="Calibri" w:hAnsi="Calibri"/>
                <w:b w:val="0"/>
                <w:i/>
                <w:color w:val="6B7280"/>
                <w:sz w:val="16"/>
              </w:rPr>
              <w:t xml:space="preserve">  Note: McAdams p. 207 Eq. 34 / Table XI; the coded pair is about 1 % above the printed conversion (disclosed in # 1). Jurges' data behind McAdams p. 207 Eq. 34 are for air parallel to a vertical plate; McAdams' Schack air-temperature correction and his low-velocity rule (take the larger of forced and natural convection, p. 210) are not applied; the coded pair is 5.68 + 3.94 u against the printed conversion 5.62 + 3.91 u. Table XI prints this linear row for velocities below 16 ft/s (4.88 m/s) only; above it McAdams prints h = 0.50 V'^0.78, which meets the linear row at 16 ft/s (both 4.35) and falls below it above (10.57 against 11.49 at 50 ft/s, Btu/(h ft2 F)); the coded row is applied at every wind speed and errs on the high-load side there.</w:t>
            </w:r>
          </w:p>
        </w:tc>
      </w:tr>
    </w:tbl>
    <w:p/>
    <w:p>
      <w:r>
        <w:rPr>
          <w:rFonts w:ascii="Calibri" w:hAnsi="Calibri"/>
          <w:b/>
          <w:color w:val="0A2540"/>
          <w:sz w:val="22"/>
        </w:rPr>
        <w:t>4.4  Longwave Radiation Loss</w:t>
      </w:r>
    </w:p>
    <w:tbl>
      <w:tblPr>
        <w:tblStyle w:val="TableGrid"/>
        <w:tblW w:type="auto" w:w="0"/>
        <w:tblLook w:firstColumn="1" w:firstRow="1" w:lastColumn="0" w:lastRow="0" w:noHBand="0" w:noVBand="1" w:val="04A0"/>
      </w:tblPr>
      <w:tblGrid>
        <w:gridCol w:w="9360"/>
      </w:tblGrid>
      <w:tr>
        <w:tc>
          <w:tcPr>
            <w:tcW w:type="dxa" w:w="9360"/>
            <w:shd w:val="clear" w:color="auto" w:fill="0A2540"/>
            <w:tcMar>
              <w:top w:w="80" w:type="dxa"/>
              <w:bottom w:w="80" w:type="dxa"/>
              <w:left w:w="80" w:type="dxa"/>
              <w:right w:w="80" w:type="dxa"/>
            </w:tcMar>
          </w:tcPr>
          <w:p>
            <w:r>
              <w:rPr>
                <w:rFonts w:ascii="Calibri" w:hAnsi="Calibri"/>
                <w:b/>
                <w:i w:val="0"/>
                <w:color w:val="FFFFFF"/>
                <w:sz w:val="20"/>
              </w:rPr>
              <w:t xml:space="preserve">  Step 4:  Stefan-Boltzmann + Swinbank Sky Temperature</w:t>
            </w:r>
          </w:p>
        </w:tc>
      </w:tr>
      <w:tr>
        <w:tc>
          <w:tcPr>
            <w:tcW w:type="dxa" w:w="9360"/>
            <w:shd w:val="clear" w:color="auto" w:fill="CCF0FA"/>
            <w:tcMar>
              <w:top w:w="80" w:type="dxa"/>
              <w:bottom w:w="80" w:type="dxa"/>
              <w:left w:w="80" w:type="dxa"/>
              <w:right w:w="80" w:type="dxa"/>
            </w:tcMar>
          </w:tcPr>
          <w:p>
            <w:r>
              <w:rPr>
                <w:rFonts w:ascii="Calibri" w:hAnsi="Calibri"/>
                <w:b w:val="0"/>
                <w:i/>
                <w:color w:val="0B3D91"/>
                <w:sz w:val="18"/>
              </w:rPr>
              <w:t xml:space="preserve">  Formula:        T_sky_K = 0.0552 × T_amb_K^1.5           [Swinbank 1963]</w:t>
              <w:br/>
              <w:t>Q_rad = ε·σ·A·(T_w⁴ − T_sky⁴) / 1000  [kW]</w:t>
            </w:r>
          </w:p>
        </w:tc>
      </w:tr>
      <w:tr>
        <w:tc>
          <w:tcPr>
            <w:tcW w:type="dxa" w:w="9360"/>
            <w:shd w:val="clear" w:color="auto" w:fill="FFFFFF"/>
            <w:tcMar>
              <w:top w:w="80" w:type="dxa"/>
              <w:bottom w:w="80" w:type="dxa"/>
              <w:left w:w="80" w:type="dxa"/>
              <w:right w:w="80" w:type="dxa"/>
            </w:tcMar>
          </w:tcPr>
          <w:p>
            <w:r>
              <w:rPr>
                <w:rFonts w:ascii="Calibri" w:hAnsi="Calibri"/>
                <w:b w:val="0"/>
                <w:i w:val="0"/>
                <w:color w:val="374151"/>
                <w:sz w:val="18"/>
              </w:rPr>
              <w:t xml:space="preserve">  Substitution:  ε = 0.95 (water emissivity, library value),  σ = 5.67e-08 W/(m²·K⁴)</w:t>
            </w:r>
          </w:p>
        </w:tc>
      </w:tr>
      <w:tr>
        <w:tc>
          <w:tcPr>
            <w:tcW w:type="dxa" w:w="9360"/>
            <w:shd w:val="clear" w:color="auto" w:fill="E8F8FD"/>
            <w:tcMar>
              <w:top w:w="80" w:type="dxa"/>
              <w:bottom w:w="80" w:type="dxa"/>
              <w:left w:w="80" w:type="dxa"/>
              <w:right w:w="80" w:type="dxa"/>
            </w:tcMar>
          </w:tcPr>
          <w:p>
            <w:r>
              <w:rPr>
                <w:rFonts w:ascii="Calibri" w:hAnsi="Calibri"/>
                <w:b/>
                <w:i w:val="0"/>
                <w:color w:val="0A2540"/>
                <w:sz w:val="20"/>
              </w:rPr>
              <w:t xml:space="preserve">  Result:          Q_rad = 16.46 kW at the design condition (14% of the surface losses).</w:t>
            </w:r>
          </w:p>
        </w:tc>
      </w:tr>
      <w:tr>
        <w:tc>
          <w:tcPr>
            <w:tcW w:type="dxa" w:w="9360"/>
            <w:shd w:val="clear" w:color="auto" w:fill="FFF8E7"/>
            <w:tcMar>
              <w:top w:w="80" w:type="dxa"/>
              <w:bottom w:w="80" w:type="dxa"/>
              <w:left w:w="80" w:type="dxa"/>
              <w:right w:w="80" w:type="dxa"/>
            </w:tcMar>
          </w:tcPr>
          <w:p>
            <w:r>
              <w:rPr>
                <w:rFonts w:ascii="Calibri" w:hAnsi="Calibri"/>
                <w:b w:val="0"/>
                <w:i/>
                <w:color w:val="6B7280"/>
                <w:sz w:val="16"/>
              </w:rPr>
              <w:t xml:space="preserve">  Note: Clear-sky model applied to every hour (conservative on the heating side); the Swinbank paper is not held in ref.</w:t>
            </w:r>
          </w:p>
        </w:tc>
      </w:tr>
    </w:tbl>
    <w:p/>
    <w:p>
      <w:r>
        <w:rPr>
          <w:rFonts w:ascii="Calibri" w:hAnsi="Calibri"/>
          <w:b/>
          <w:color w:val="0A2540"/>
          <w:sz w:val="22"/>
        </w:rPr>
        <w:t>4.5  Solar Gain</w:t>
      </w:r>
    </w:p>
    <w:tbl>
      <w:tblPr>
        <w:tblStyle w:val="TableGrid"/>
        <w:tblW w:type="auto" w:w="0"/>
        <w:tblLook w:firstColumn="1" w:firstRow="1" w:lastColumn="0" w:lastRow="0" w:noHBand="0" w:noVBand="1" w:val="04A0"/>
      </w:tblPr>
      <w:tblGrid>
        <w:gridCol w:w="9360"/>
      </w:tblGrid>
      <w:tr>
        <w:tc>
          <w:tcPr>
            <w:tcW w:type="dxa" w:w="9360"/>
            <w:shd w:val="clear" w:color="auto" w:fill="0A2540"/>
            <w:tcMar>
              <w:top w:w="80" w:type="dxa"/>
              <w:bottom w:w="80" w:type="dxa"/>
              <w:left w:w="80" w:type="dxa"/>
              <w:right w:w="80" w:type="dxa"/>
            </w:tcMar>
          </w:tcPr>
          <w:p>
            <w:r>
              <w:rPr>
                <w:rFonts w:ascii="Calibri" w:hAnsi="Calibri"/>
                <w:b/>
                <w:i w:val="0"/>
                <w:color w:val="FFFFFF"/>
                <w:sz w:val="20"/>
              </w:rPr>
              <w:t xml:space="preserve">  Step 5:  Absorbed Shortwave Radiation</w:t>
            </w:r>
          </w:p>
        </w:tc>
      </w:tr>
      <w:tr>
        <w:tc>
          <w:tcPr>
            <w:tcW w:type="dxa" w:w="9360"/>
            <w:shd w:val="clear" w:color="auto" w:fill="CCF0FA"/>
            <w:tcMar>
              <w:top w:w="80" w:type="dxa"/>
              <w:bottom w:w="80" w:type="dxa"/>
              <w:left w:w="80" w:type="dxa"/>
              <w:right w:w="80" w:type="dxa"/>
            </w:tcMar>
          </w:tcPr>
          <w:p>
            <w:r>
              <w:rPr>
                <w:rFonts w:ascii="Calibri" w:hAnsi="Calibri"/>
                <w:b w:val="0"/>
                <w:i/>
                <w:color w:val="0B3D91"/>
                <w:sz w:val="18"/>
              </w:rPr>
              <w:t xml:space="preserve">  Formula:        Q_solar = α × G × A / 1000  [kW]</w:t>
            </w:r>
          </w:p>
        </w:tc>
      </w:tr>
      <w:tr>
        <w:tc>
          <w:tcPr>
            <w:tcW w:type="dxa" w:w="9360"/>
            <w:shd w:val="clear" w:color="auto" w:fill="FFFFFF"/>
            <w:tcMar>
              <w:top w:w="80" w:type="dxa"/>
              <w:bottom w:w="80" w:type="dxa"/>
              <w:left w:w="80" w:type="dxa"/>
              <w:right w:w="80" w:type="dxa"/>
            </w:tcMar>
          </w:tcPr>
          <w:p>
            <w:r>
              <w:rPr>
                <w:rFonts w:ascii="Calibri" w:hAnsi="Calibri"/>
                <w:b w:val="0"/>
                <w:i w:val="0"/>
                <w:color w:val="374151"/>
                <w:sz w:val="18"/>
              </w:rPr>
              <w:t xml:space="preserve">  Substitution:  α = 0.9 (water absorptivity, library value),  G = hourly irradiance [W/m²],  A = 150.0 m²</w:t>
            </w:r>
          </w:p>
        </w:tc>
      </w:tr>
      <w:tr>
        <w:tc>
          <w:tcPr>
            <w:tcW w:type="dxa" w:w="9360"/>
            <w:shd w:val="clear" w:color="auto" w:fill="E8F8FD"/>
            <w:tcMar>
              <w:top w:w="80" w:type="dxa"/>
              <w:bottom w:w="80" w:type="dxa"/>
              <w:left w:w="80" w:type="dxa"/>
              <w:right w:w="80" w:type="dxa"/>
            </w:tcMar>
          </w:tcPr>
          <w:p>
            <w:r>
              <w:rPr>
                <w:rFonts w:ascii="Calibri" w:hAnsi="Calibri"/>
                <w:b/>
                <w:i w:val="0"/>
                <w:color w:val="0A2540"/>
                <w:sz w:val="20"/>
              </w:rPr>
              <w:t xml:space="preserve">  Result:          Solar gain reduces the net heating requirement. Applied to the net balance.</w:t>
            </w:r>
          </w:p>
        </w:tc>
      </w:tr>
    </w:tbl>
    <w:p/>
    <w:p>
      <w:r>
        <w:rPr>
          <w:rFonts w:ascii="Calibri" w:hAnsi="Calibri"/>
          <w:b/>
          <w:color w:val="0A2540"/>
          <w:sz w:val="22"/>
        </w:rPr>
        <w:t>4.6  Makeup Water Heating</w:t>
      </w:r>
    </w:p>
    <w:tbl>
      <w:tblPr>
        <w:tblStyle w:val="TableGrid"/>
        <w:tblW w:type="auto" w:w="0"/>
        <w:tblLook w:firstColumn="1" w:firstRow="1" w:lastColumn="0" w:lastRow="0" w:noHBand="0" w:noVBand="1" w:val="04A0"/>
      </w:tblPr>
      <w:tblGrid>
        <w:gridCol w:w="9360"/>
      </w:tblGrid>
      <w:tr>
        <w:tc>
          <w:tcPr>
            <w:tcW w:type="dxa" w:w="9360"/>
            <w:shd w:val="clear" w:color="auto" w:fill="0A2540"/>
            <w:tcMar>
              <w:top w:w="80" w:type="dxa"/>
              <w:bottom w:w="80" w:type="dxa"/>
              <w:left w:w="80" w:type="dxa"/>
              <w:right w:w="80" w:type="dxa"/>
            </w:tcMar>
          </w:tcPr>
          <w:p>
            <w:r>
              <w:rPr>
                <w:rFonts w:ascii="Calibri" w:hAnsi="Calibri"/>
                <w:b/>
                <w:i w:val="0"/>
                <w:color w:val="FFFFFF"/>
                <w:sz w:val="20"/>
              </w:rPr>
              <w:t xml:space="preserve">  Step 6:  Energy to Condition Makeup Water</w:t>
            </w:r>
          </w:p>
        </w:tc>
      </w:tr>
      <w:tr>
        <w:tc>
          <w:tcPr>
            <w:tcW w:type="dxa" w:w="9360"/>
            <w:shd w:val="clear" w:color="auto" w:fill="CCF0FA"/>
            <w:tcMar>
              <w:top w:w="80" w:type="dxa"/>
              <w:bottom w:w="80" w:type="dxa"/>
              <w:left w:w="80" w:type="dxa"/>
              <w:right w:w="80" w:type="dxa"/>
            </w:tcMar>
          </w:tcPr>
          <w:p>
            <w:r>
              <w:rPr>
                <w:rFonts w:ascii="Calibri" w:hAnsi="Calibri"/>
                <w:b w:val="0"/>
                <w:i/>
                <w:color w:val="0B3D91"/>
                <w:sz w:val="18"/>
              </w:rPr>
              <w:t xml:space="preserve">  Formula:        Q_makeup = ṁ_evap × Cp × (T_w − T_makeup) / 3600  [kW]</w:t>
            </w:r>
          </w:p>
        </w:tc>
      </w:tr>
      <w:tr>
        <w:tc>
          <w:tcPr>
            <w:tcW w:type="dxa" w:w="9360"/>
            <w:shd w:val="clear" w:color="auto" w:fill="FFFFFF"/>
            <w:tcMar>
              <w:top w:w="80" w:type="dxa"/>
              <w:bottom w:w="80" w:type="dxa"/>
              <w:left w:w="80" w:type="dxa"/>
              <w:right w:w="80" w:type="dxa"/>
            </w:tcMar>
          </w:tcPr>
          <w:p>
            <w:r>
              <w:rPr>
                <w:rFonts w:ascii="Calibri" w:hAnsi="Calibri"/>
                <w:b w:val="0"/>
                <w:i w:val="0"/>
                <w:color w:val="374151"/>
                <w:sz w:val="18"/>
              </w:rPr>
              <w:t xml:space="preserve">  Substitution:  Cp = 4.186 kJ/(kg·°C);  ṁ_evap = E × A  [kg/h]</w:t>
              <w:br/>
              <w:t>T_makeup: winter = 12.0 °C, summer = 22.0 °C</w:t>
            </w:r>
          </w:p>
        </w:tc>
      </w:tr>
      <w:tr>
        <w:tc>
          <w:tcPr>
            <w:tcW w:type="dxa" w:w="9360"/>
            <w:shd w:val="clear" w:color="auto" w:fill="E8F8FD"/>
            <w:tcMar>
              <w:top w:w="80" w:type="dxa"/>
              <w:bottom w:w="80" w:type="dxa"/>
              <w:left w:w="80" w:type="dxa"/>
              <w:right w:w="80" w:type="dxa"/>
            </w:tcMar>
          </w:tcPr>
          <w:p>
            <w:r>
              <w:rPr>
                <w:rFonts w:ascii="Calibri" w:hAnsi="Calibri"/>
                <w:b/>
                <w:i w:val="0"/>
                <w:color w:val="0A2540"/>
                <w:sz w:val="20"/>
              </w:rPr>
              <w:t xml:space="preserve">  Result:          Makeup water penalty added to total heating load: Q_makeup = 2.04 kW at the heating design condition (inside q2).</w:t>
            </w:r>
          </w:p>
        </w:tc>
      </w:tr>
    </w:tbl>
    <w:p/>
    <w:p>
      <w:r>
        <w:rPr>
          <w:rFonts w:ascii="Calibri" w:hAnsi="Calibri"/>
          <w:b/>
          <w:color w:val="0A2540"/>
          <w:sz w:val="22"/>
        </w:rPr>
        <w:t>4.7  Net Maintenance Load</w:t>
      </w:r>
    </w:p>
    <w:tbl>
      <w:tblPr>
        <w:tblStyle w:val="TableGrid"/>
        <w:tblW w:type="auto" w:w="0"/>
        <w:tblLook w:firstColumn="1" w:firstRow="1" w:lastColumn="0" w:lastRow="0" w:noHBand="0" w:noVBand="1" w:val="04A0"/>
      </w:tblPr>
      <w:tblGrid>
        <w:gridCol w:w="9360"/>
      </w:tblGrid>
      <w:tr>
        <w:tc>
          <w:tcPr>
            <w:tcW w:type="dxa" w:w="9360"/>
            <w:shd w:val="clear" w:color="auto" w:fill="0A2540"/>
            <w:tcMar>
              <w:top w:w="80" w:type="dxa"/>
              <w:bottom w:w="80" w:type="dxa"/>
              <w:left w:w="80" w:type="dxa"/>
              <w:right w:w="80" w:type="dxa"/>
            </w:tcMar>
          </w:tcPr>
          <w:p>
            <w:r>
              <w:rPr>
                <w:rFonts w:ascii="Calibri" w:hAnsi="Calibri"/>
                <w:b/>
                <w:i w:val="0"/>
                <w:color w:val="FFFFFF"/>
                <w:sz w:val="20"/>
              </w:rPr>
              <w:t xml:space="preserve">  Step 7:  Total Hourly Net Load</w:t>
            </w:r>
          </w:p>
        </w:tc>
      </w:tr>
      <w:tr>
        <w:tc>
          <w:tcPr>
            <w:tcW w:type="dxa" w:w="9360"/>
            <w:shd w:val="clear" w:color="auto" w:fill="CCF0FA"/>
            <w:tcMar>
              <w:top w:w="80" w:type="dxa"/>
              <w:bottom w:w="80" w:type="dxa"/>
              <w:left w:w="80" w:type="dxa"/>
              <w:right w:w="80" w:type="dxa"/>
            </w:tcMar>
          </w:tcPr>
          <w:p>
            <w:r>
              <w:rPr>
                <w:rFonts w:ascii="Calibri" w:hAnsi="Calibri"/>
                <w:b w:val="0"/>
                <w:i/>
                <w:color w:val="0B3D91"/>
                <w:sz w:val="18"/>
              </w:rPr>
              <w:t xml:space="preserve">  Formula:        Q_net = Q_evap + Q_conv + Q_rad − Q_solar + Q_makeup  [kW]</w:t>
            </w:r>
          </w:p>
        </w:tc>
      </w:tr>
      <w:tr>
        <w:tc>
          <w:tcPr>
            <w:tcW w:type="dxa" w:w="9360"/>
            <w:shd w:val="clear" w:color="auto" w:fill="FFFFFF"/>
            <w:tcMar>
              <w:top w:w="80" w:type="dxa"/>
              <w:bottom w:w="80" w:type="dxa"/>
              <w:left w:w="80" w:type="dxa"/>
              <w:right w:w="80" w:type="dxa"/>
            </w:tcMar>
          </w:tcPr>
          <w:p>
            <w:r>
              <w:rPr>
                <w:rFonts w:ascii="Calibri" w:hAnsi="Calibri"/>
                <w:b w:val="0"/>
                <w:i w:val="0"/>
                <w:color w:val="374151"/>
                <w:sz w:val="18"/>
              </w:rPr>
              <w:t xml:space="preserve">  Substitution:  Positive Q_net = heating required;  Negative = cooling (pool absorbs heat)</w:t>
            </w:r>
          </w:p>
        </w:tc>
      </w:tr>
      <w:tr>
        <w:tc>
          <w:tcPr>
            <w:tcW w:type="dxa" w:w="9360"/>
            <w:shd w:val="clear" w:color="auto" w:fill="E8F8FD"/>
            <w:tcMar>
              <w:top w:w="80" w:type="dxa"/>
              <w:bottom w:w="80" w:type="dxa"/>
              <w:left w:w="80" w:type="dxa"/>
              <w:right w:w="80" w:type="dxa"/>
            </w:tcMar>
          </w:tcPr>
          <w:p>
            <w:r>
              <w:rPr>
                <w:rFonts w:ascii="Calibri" w:hAnsi="Calibri"/>
                <w:b/>
                <w:i w:val="0"/>
                <w:color w:val="0A2540"/>
                <w:sz w:val="20"/>
              </w:rPr>
              <w:t xml:space="preserve">  Result:          Heating load = max(Q_net at the heating target, 0);  Cooling load = max(−Q_net at the cooling target, 0)</w:t>
            </w:r>
          </w:p>
        </w:tc>
      </w:tr>
      <w:tr>
        <w:tc>
          <w:tcPr>
            <w:tcW w:type="dxa" w:w="9360"/>
            <w:shd w:val="clear" w:color="auto" w:fill="FFF8E7"/>
            <w:tcMar>
              <w:top w:w="80" w:type="dxa"/>
              <w:bottom w:w="80" w:type="dxa"/>
              <w:left w:w="80" w:type="dxa"/>
              <w:right w:w="80" w:type="dxa"/>
            </w:tcMar>
          </w:tcPr>
          <w:p>
            <w:r>
              <w:rPr>
                <w:rFonts w:ascii="Calibri" w:hAnsi="Calibri"/>
                <w:b w:val="0"/>
                <w:i/>
                <w:color w:val="6B7280"/>
                <w:sz w:val="16"/>
              </w:rPr>
              <w:t xml:space="preserve">  Note: Hourly heating (peak, energy) acts only when the water would fall below the winter set-point 26.0 °C and hourly cooling only when it would rise above the summer set-point 30.0 °C, in every month; the water floats between them (engineer rulings 29.09.2026, heat to the winter set-point all year; cool only above the summer set-point).</w:t>
            </w:r>
          </w:p>
        </w:tc>
      </w:tr>
    </w:tbl>
    <w:p/>
    <w:p>
      <w:r>
        <w:rPr>
          <w:rFonts w:ascii="Calibri" w:hAnsi="Calibri"/>
          <w:b/>
          <w:color w:val="0A2540"/>
          <w:sz w:val="22"/>
        </w:rPr>
        <w:t>4.8  Initial Heat-up / Cool-down Power</w:t>
      </w:r>
    </w:p>
    <w:tbl>
      <w:tblPr>
        <w:tblStyle w:val="TableGrid"/>
        <w:tblW w:type="auto" w:w="0"/>
        <w:tblLook w:firstColumn="1" w:firstRow="1" w:lastColumn="0" w:lastRow="0" w:noHBand="0" w:noVBand="1" w:val="04A0"/>
      </w:tblPr>
      <w:tblGrid>
        <w:gridCol w:w="9360"/>
      </w:tblGrid>
      <w:tr>
        <w:tc>
          <w:tcPr>
            <w:tcW w:type="dxa" w:w="9360"/>
            <w:shd w:val="clear" w:color="auto" w:fill="0A2540"/>
            <w:tcMar>
              <w:top w:w="80" w:type="dxa"/>
              <w:bottom w:w="80" w:type="dxa"/>
              <w:left w:w="80" w:type="dxa"/>
              <w:right w:w="80" w:type="dxa"/>
            </w:tcMar>
          </w:tcPr>
          <w:p>
            <w:r>
              <w:rPr>
                <w:rFonts w:ascii="Calibri" w:hAnsi="Calibri"/>
                <w:b/>
                <w:i w:val="0"/>
                <w:color w:val="FFFFFF"/>
                <w:sz w:val="20"/>
              </w:rPr>
              <w:t xml:space="preserve">  Step 8:  Energy to Reach Set-Point Temperature</w:t>
            </w:r>
          </w:p>
        </w:tc>
      </w:tr>
      <w:tr>
        <w:tc>
          <w:tcPr>
            <w:tcW w:type="dxa" w:w="9360"/>
            <w:shd w:val="clear" w:color="auto" w:fill="CCF0FA"/>
            <w:tcMar>
              <w:top w:w="80" w:type="dxa"/>
              <w:bottom w:w="80" w:type="dxa"/>
              <w:left w:w="80" w:type="dxa"/>
              <w:right w:w="80" w:type="dxa"/>
            </w:tcMar>
          </w:tcPr>
          <w:p>
            <w:r>
              <w:rPr>
                <w:rFonts w:ascii="Calibri" w:hAnsi="Calibri"/>
                <w:b w:val="0"/>
                <w:i/>
                <w:color w:val="0B3D91"/>
                <w:sz w:val="18"/>
              </w:rPr>
              <w:t xml:space="preserve">  Formula:        Q_init_heat = m·Cp·max(T_des − T_init, 0) / (3600·t);  Q_init_cool = m·Cp·max(T_init − T_des, 0) / (3600·t)  [kW]</w:t>
            </w:r>
          </w:p>
        </w:tc>
      </w:tr>
      <w:tr>
        <w:tc>
          <w:tcPr>
            <w:tcW w:type="dxa" w:w="9360"/>
            <w:shd w:val="clear" w:color="auto" w:fill="FFFFFF"/>
            <w:tcMar>
              <w:top w:w="80" w:type="dxa"/>
              <w:bottom w:w="80" w:type="dxa"/>
              <w:left w:w="80" w:type="dxa"/>
              <w:right w:w="80" w:type="dxa"/>
            </w:tcMar>
          </w:tcPr>
          <w:p>
            <w:r>
              <w:rPr>
                <w:rFonts w:ascii="Calibri" w:hAnsi="Calibri"/>
                <w:b w:val="0"/>
                <w:i w:val="0"/>
                <w:color w:val="374151"/>
                <w:sz w:val="18"/>
              </w:rPr>
              <w:t xml:space="preserve">  Substitution:  m = ρ·V = 998 × 210.0 kg,  Cp = 4.186 kJ/(kg·°C)</w:t>
              <w:br/>
              <w:t>Heating: ΔT = max(26.0 °C − 10.0 °C, 0), t = 72.0 h</w:t>
              <w:br/>
              <w:t>Cooling: ΔT = max(35.0 °C − 30.0 °C, 0), t = 48.0 h</w:t>
            </w:r>
          </w:p>
        </w:tc>
      </w:tr>
      <w:tr>
        <w:tc>
          <w:tcPr>
            <w:tcW w:type="dxa" w:w="9360"/>
            <w:shd w:val="clear" w:color="auto" w:fill="E8F8FD"/>
            <w:tcMar>
              <w:top w:w="80" w:type="dxa"/>
              <w:bottom w:w="80" w:type="dxa"/>
              <w:left w:w="80" w:type="dxa"/>
              <w:right w:w="80" w:type="dxa"/>
            </w:tcMar>
          </w:tcPr>
          <w:p>
            <w:r>
              <w:rPr>
                <w:rFonts w:ascii="Calibri" w:hAnsi="Calibri"/>
                <w:b/>
                <w:i w:val="0"/>
                <w:color w:val="0A2540"/>
                <w:sz w:val="20"/>
              </w:rPr>
              <w:t xml:space="preserve">  Result:          Q_init_heat = 54.2 kW,  Q_init_cool = 25.4 kW</w:t>
            </w:r>
          </w:p>
        </w:tc>
      </w:tr>
      <w:tr>
        <w:tc>
          <w:tcPr>
            <w:tcW w:type="dxa" w:w="9360"/>
            <w:shd w:val="clear" w:color="auto" w:fill="FFF8E7"/>
            <w:tcMar>
              <w:top w:w="80" w:type="dxa"/>
              <w:bottom w:w="80" w:type="dxa"/>
              <w:left w:w="80" w:type="dxa"/>
              <w:right w:w="80" w:type="dxa"/>
            </w:tcMar>
          </w:tcPr>
          <w:p>
            <w:r>
              <w:rPr>
                <w:rFonts w:ascii="Calibri" w:hAnsi="Calibri"/>
                <w:b w:val="0"/>
                <w:i/>
                <w:color w:val="6B7280"/>
                <w:sz w:val="16"/>
              </w:rPr>
              <w:t xml:space="preserve">  Note: Directed (engineer ruling D26, 2026-09-22): a change against the season adds no power to that plant and is listed under Warnings.</w:t>
            </w:r>
          </w:p>
        </w:tc>
      </w:tr>
    </w:tbl>
    <w:p/>
    <w:p>
      <w:r>
        <w:rPr>
          <w:rFonts w:ascii="Calibri" w:hAnsi="Calibri"/>
          <w:b/>
          <w:color w:val="0A2540"/>
          <w:sz w:val="22"/>
        </w:rPr>
        <w:t>4.9  Equipment Sizing</w:t>
      </w:r>
    </w:p>
    <w:tbl>
      <w:tblPr>
        <w:tblStyle w:val="TableGrid"/>
        <w:tblW w:type="auto" w:w="0"/>
        <w:tblLook w:firstColumn="1" w:firstRow="1" w:lastColumn="0" w:lastRow="0" w:noHBand="0" w:noVBand="1" w:val="04A0"/>
      </w:tblPr>
      <w:tblGrid>
        <w:gridCol w:w="9360"/>
      </w:tblGrid>
      <w:tr>
        <w:tc>
          <w:tcPr>
            <w:tcW w:type="dxa" w:w="9360"/>
            <w:shd w:val="clear" w:color="auto" w:fill="0A2540"/>
            <w:tcMar>
              <w:top w:w="80" w:type="dxa"/>
              <w:bottom w:w="80" w:type="dxa"/>
              <w:left w:w="80" w:type="dxa"/>
              <w:right w:w="80" w:type="dxa"/>
            </w:tcMar>
          </w:tcPr>
          <w:p>
            <w:r>
              <w:rPr>
                <w:rFonts w:ascii="Calibri" w:hAnsi="Calibri"/>
                <w:b/>
                <w:i w:val="0"/>
                <w:color w:val="FFFFFF"/>
                <w:sz w:val="20"/>
              </w:rPr>
              <w:t xml:space="preserve">  Step 9:  Design-Condition Sizing (pool-industry convention — not a cited clause)</w:t>
            </w:r>
          </w:p>
        </w:tc>
      </w:tr>
      <w:tr>
        <w:tc>
          <w:tcPr>
            <w:tcW w:type="dxa" w:w="9360"/>
            <w:shd w:val="clear" w:color="auto" w:fill="CCF0FA"/>
            <w:tcMar>
              <w:top w:w="80" w:type="dxa"/>
              <w:bottom w:w="80" w:type="dxa"/>
              <w:left w:w="80" w:type="dxa"/>
              <w:right w:w="80" w:type="dxa"/>
            </w:tcMar>
          </w:tcPr>
          <w:p>
            <w:r>
              <w:rPr>
                <w:rFonts w:ascii="Calibri" w:hAnsi="Calibri"/>
                <w:b w:val="0"/>
                <w:i/>
                <w:color w:val="0B3D91"/>
                <w:sz w:val="18"/>
              </w:rPr>
              <w:t xml:space="preserve">  Formula:        Q_size,heat = q1_heat + max(q2_heat, 0);  Q_size,cool = q1_cool + max(−q2_cool, 0)</w:t>
            </w:r>
          </w:p>
        </w:tc>
      </w:tr>
      <w:tr>
        <w:tc>
          <w:tcPr>
            <w:tcW w:type="dxa" w:w="9360"/>
            <w:shd w:val="clear" w:color="auto" w:fill="FFFFFF"/>
            <w:tcMar>
              <w:top w:w="80" w:type="dxa"/>
              <w:bottom w:w="80" w:type="dxa"/>
              <w:left w:w="80" w:type="dxa"/>
              <w:right w:w="80" w:type="dxa"/>
            </w:tcMar>
          </w:tcPr>
          <w:p>
            <w:r>
              <w:rPr>
                <w:rFonts w:ascii="Calibri" w:hAnsi="Calibri"/>
                <w:b w:val="0"/>
                <w:i w:val="0"/>
                <w:color w:val="374151"/>
                <w:sz w:val="18"/>
              </w:rPr>
              <w:t xml:space="preserve">  Substitution:  Design heating ambient (mean of the coldest 3 months): 20.7 °C  → q2 = 119.5 kW</w:t>
              <w:br/>
              <w:t>Design cooling ambient (mean of the hottest month, August 2024): 35.9 °C  → q2 = 0.0 kW  (the mean state of the hottest month, August 2024 is still a heating load of 0.2 kW; cooling maintenance = 0)</w:t>
              <w:br/>
              <w:t>Cooling q2 state: pool unoccupied (Shah Eq. (7)): cooling q2 0.00 kW (August 2024)</w:t>
            </w:r>
          </w:p>
        </w:tc>
      </w:tr>
      <w:tr>
        <w:tc>
          <w:tcPr>
            <w:tcW w:type="dxa" w:w="9360"/>
            <w:shd w:val="clear" w:color="auto" w:fill="E8F8FD"/>
            <w:tcMar>
              <w:top w:w="80" w:type="dxa"/>
              <w:bottom w:w="80" w:type="dxa"/>
              <w:left w:w="80" w:type="dxa"/>
              <w:right w:w="80" w:type="dxa"/>
            </w:tcMar>
          </w:tcPr>
          <w:p>
            <w:r>
              <w:rPr>
                <w:rFonts w:ascii="Calibri" w:hAnsi="Calibri"/>
                <w:b/>
                <w:i w:val="0"/>
                <w:color w:val="0A2540"/>
                <w:sz w:val="20"/>
              </w:rPr>
              <w:t xml:space="preserve">  Result:          Heating equipment: 173.7 kW  (q1 heat-up 54.2 kW + q2 maintenance 119.5 kW)</w:t>
              <w:br/>
              <w:t>Cooling equipment: 25.4 kW  (q1 pull-down, one-off 25.4 kW + q2 maintenance 0.0 kW)</w:t>
              <w:br/>
              <w:t>Implied summer water rise at this cooling size: up to 5.96 °C (at 22 Jul 2024 17:00); median of the daily maxima 0.66 °C; summer set-point 30.0 °C</w:t>
            </w:r>
          </w:p>
        </w:tc>
      </w:tr>
      <w:tr>
        <w:tc>
          <w:tcPr>
            <w:tcW w:type="dxa" w:w="9360"/>
            <w:shd w:val="clear" w:color="auto" w:fill="FFF8E7"/>
            <w:tcMar>
              <w:top w:w="80" w:type="dxa"/>
              <w:bottom w:w="80" w:type="dxa"/>
              <w:left w:w="80" w:type="dxa"/>
              <w:right w:w="80" w:type="dxa"/>
            </w:tcMar>
          </w:tcPr>
          <w:p>
            <w:r>
              <w:rPr>
                <w:rFonts w:ascii="Calibri" w:hAnsi="Calibri"/>
                <w:b w:val="0"/>
                <w:i/>
                <w:color w:val="6B7280"/>
                <w:sz w:val="16"/>
              </w:rPr>
              <w:t xml:space="preserve">  Note: Sizing = q1 (initial heat-up / pull-down power, a one-off) + q2 (maintenance load at the design MEAN ambient - coldest season for heating, hottest month for cooling, engineer ruling 29.09.2026 R3 - per the methodology above); only q2 is a maintenance capacity (engineer ruling C114). Individual hours can exceed this mean-based figure — apply plant margin accordingly. Upper bound: the hottest-season hours are taken in time order with the plant held at the printed cooling size, any excess heat gain stored in the water and removed only by spare plant capacity; the pool's own self-regulation (a warmer pool loses more) is ignored. The figure depends strongly on the summer set-point - a lower set-point gives a larger rise. (engineer ruling C069) The pool cover is not applied to the equipment size: the heating plant is sized on the uncovered load (it must hold set-point with the cover off); the cover changes the annual energy only (engineer ruling D25, 2026-09-22).</w:t>
            </w:r>
          </w:p>
        </w:tc>
      </w:tr>
    </w:tbl>
    <w:p/>
    <w:tbl>
      <w:tblPr>
        <w:tblStyle w:val="TableGrid"/>
        <w:tblW w:type="auto" w:w="0"/>
        <w:tblLook w:firstColumn="1" w:firstRow="1" w:lastColumn="0" w:lastRow="0" w:noHBand="0" w:noVBand="1" w:val="04A0"/>
      </w:tblPr>
      <w:tblGrid>
        <w:gridCol w:w="9360"/>
      </w:tblGrid>
      <w:tr>
        <w:tc>
          <w:tcPr>
            <w:tcW w:type="dxa" w:w="9360"/>
            <w:shd w:val="clear" w:color="auto" w:fill="FFF4E5"/>
          </w:tcPr>
          <w:p>
            <w:pPr>
              <w:jc w:val="left"/>
            </w:pPr>
            <w:r>
              <w:rPr>
                <w:rFonts w:ascii="Calibri" w:hAnsi="Calibri"/>
                <w:b/>
                <w:i w:val="0"/>
                <w:color w:val="B45309"/>
                <w:sz w:val="20"/>
              </w:rPr>
              <w:t xml:space="preserve">  ⚠  Advisory</w:t>
            </w:r>
          </w:p>
        </w:tc>
      </w:tr>
      <w:tr>
        <w:tc>
          <w:tcPr>
            <w:tcW w:type="dxa" w:w="9360"/>
            <w:shd w:val="clear" w:color="auto" w:fill="FFF4E5"/>
          </w:tcPr>
          <w:p>
            <w:pPr>
              <w:jc w:val="left"/>
            </w:pPr>
            <w:r>
              <w:rPr>
                <w:rFonts w:ascii="Calibri" w:hAnsi="Calibri"/>
                <w:b w:val="0"/>
                <w:i w:val="0"/>
                <w:color w:val="B45309"/>
                <w:sz w:val="18"/>
              </w:rPr>
              <w:t xml:space="preserve">   • Outdoor air was wetter than the pool surface in 717 of 8,784 hours (dP &lt; 0, lowest -0.99 kPa): evaporation is floored at 0 on those hours and the condensation gain is not credited (Shah 2014 Eq. (7) p. 8 and ASHRAE 2007 Ch. 4 Eq. 1 p. 4.6 print no condensation case), so the heating load is overstated and the cooling load understated there (same floor as the indoor ruling D34, 2026-09-22).</w:t>
            </w:r>
          </w:p>
        </w:tc>
      </w:tr>
      <w:tr>
        <w:tc>
          <w:tcPr>
            <w:tcW w:type="dxa" w:w="9360"/>
            <w:shd w:val="clear" w:color="auto" w:fill="FFF4E5"/>
          </w:tcPr>
          <w:p>
            <w:pPr>
              <w:jc w:val="left"/>
            </w:pPr>
            <w:r>
              <w:rPr>
                <w:rFonts w:ascii="Calibri" w:hAnsi="Calibri"/>
                <w:b w:val="0"/>
                <w:i w:val="0"/>
                <w:color w:val="B45309"/>
                <w:sz w:val="18"/>
              </w:rPr>
              <w:t xml:space="preserve">   • Ambient maximum 47.9 degC is &gt;5 degC above the rated upper point (27 degC); above the rating point the COP is held at the rated value (not extrapolated) — verify against datasheet at high-T.</w:t>
            </w:r>
          </w:p>
        </w:tc>
      </w:tr>
    </w:tbl>
    <w:p/>
    <w:p>
      <w:pPr>
        <w:pStyle w:val="Heading1"/>
        <w:pBdr>
          <w:bottom w:val="single" w:sz="6" w:space="4" w:color="0A2540"/>
        </w:pBdr>
      </w:pPr>
      <w:r>
        <w:rPr>
          <w:rFonts w:ascii="Calibri" w:hAnsi="Calibri"/>
          <w:b/>
          <w:color w:val="0A2540"/>
          <w:sz w:val="26"/>
        </w:rPr>
        <w:t>5.  Results</w:t>
      </w:r>
    </w:p>
    <w:tbl>
      <w:tblPr>
        <w:tblStyle w:val="TableGrid"/>
        <w:tblW w:type="auto" w:w="0"/>
        <w:tblLook w:firstColumn="1" w:firstRow="1" w:lastColumn="0" w:lastRow="0" w:noHBand="0" w:noVBand="1" w:val="04A0"/>
      </w:tblPr>
      <w:tblGrid>
        <w:gridCol w:w="4680"/>
        <w:gridCol w:w="4680"/>
      </w:tblGrid>
      <w:tr>
        <w:tc>
          <w:tcPr>
            <w:tcW w:type="dxa" w:w="4680"/>
            <w:shd w:val="clear" w:color="auto" w:fill="0A2540"/>
          </w:tcPr>
          <w:p>
            <w:pPr>
              <w:jc w:val="center"/>
            </w:pPr>
            <w:r>
              <w:rPr>
                <w:rFonts w:ascii="Calibri" w:hAnsi="Calibri"/>
                <w:b/>
                <w:i w:val="0"/>
                <w:color w:val="FFFFFF"/>
                <w:sz w:val="18"/>
              </w:rPr>
              <w:t>Parameter</w:t>
            </w:r>
          </w:p>
        </w:tc>
        <w:tc>
          <w:tcPr>
            <w:tcW w:type="dxa" w:w="4680"/>
            <w:shd w:val="clear" w:color="auto" w:fill="0A2540"/>
          </w:tcPr>
          <w:p>
            <w:pPr>
              <w:jc w:val="center"/>
            </w:pPr>
            <w:r>
              <w:rPr>
                <w:rFonts w:ascii="Calibri" w:hAnsi="Calibri"/>
                <w:b/>
                <w:i w:val="0"/>
                <w:color w:val="FFFFFF"/>
                <w:sz w:val="18"/>
              </w:rPr>
              <w:t>Value</w:t>
            </w:r>
          </w:p>
        </w:tc>
      </w:tr>
      <w:tr>
        <w:tc>
          <w:tcPr>
            <w:tcW w:type="dxa" w:w="4680"/>
            <w:shd w:val="clear" w:color="auto" w:fill="EFF9FC"/>
          </w:tcPr>
          <w:p>
            <w:pPr>
              <w:jc w:val="left"/>
            </w:pPr>
            <w:r>
              <w:rPr>
                <w:rFonts w:ascii="Calibri" w:hAnsi="Calibri"/>
                <w:b/>
                <w:i w:val="0"/>
                <w:sz w:val="18"/>
              </w:rPr>
              <w:t>Pool Volume</w:t>
            </w:r>
          </w:p>
        </w:tc>
        <w:tc>
          <w:tcPr>
            <w:tcW w:type="dxa" w:w="4680"/>
            <w:shd w:val="clear" w:color="auto" w:fill="EFF9FC"/>
          </w:tcPr>
          <w:p>
            <w:pPr>
              <w:jc w:val="left"/>
            </w:pPr>
            <w:r>
              <w:rPr>
                <w:rFonts w:ascii="Calibri" w:hAnsi="Calibri"/>
                <w:b w:val="0"/>
                <w:i w:val="0"/>
                <w:sz w:val="18"/>
              </w:rPr>
              <w:t>210.0 m³</w:t>
            </w:r>
          </w:p>
        </w:tc>
      </w:tr>
      <w:tr>
        <w:tc>
          <w:tcPr>
            <w:tcW w:type="dxa" w:w="4680"/>
            <w:shd w:val="clear" w:color="auto" w:fill="FFFFFF"/>
          </w:tcPr>
          <w:p>
            <w:pPr>
              <w:jc w:val="left"/>
            </w:pPr>
            <w:r>
              <w:rPr>
                <w:rFonts w:ascii="Calibri" w:hAnsi="Calibri"/>
                <w:b/>
                <w:i w:val="0"/>
                <w:sz w:val="18"/>
              </w:rPr>
              <w:t>Design Heating Ambient (mean of the coldest 3 months)</w:t>
            </w:r>
          </w:p>
        </w:tc>
        <w:tc>
          <w:tcPr>
            <w:tcW w:type="dxa" w:w="4680"/>
            <w:shd w:val="clear" w:color="auto" w:fill="FFFFFF"/>
          </w:tcPr>
          <w:p>
            <w:pPr>
              <w:jc w:val="left"/>
            </w:pPr>
            <w:r>
              <w:rPr>
                <w:rFonts w:ascii="Calibri" w:hAnsi="Calibri"/>
                <w:b w:val="0"/>
                <w:i w:val="0"/>
                <w:sz w:val="18"/>
              </w:rPr>
              <w:t>20.7 °C</w:t>
            </w:r>
          </w:p>
        </w:tc>
      </w:tr>
      <w:tr>
        <w:tc>
          <w:tcPr>
            <w:tcW w:type="dxa" w:w="4680"/>
            <w:shd w:val="clear" w:color="auto" w:fill="EFF9FC"/>
          </w:tcPr>
          <w:p>
            <w:pPr>
              <w:jc w:val="left"/>
            </w:pPr>
            <w:r>
              <w:rPr>
                <w:rFonts w:ascii="Calibri" w:hAnsi="Calibri"/>
                <w:b/>
                <w:i w:val="0"/>
                <w:sz w:val="18"/>
              </w:rPr>
              <w:t>Design Cooling Ambient (mean of the hottest month, August 2024)</w:t>
            </w:r>
          </w:p>
        </w:tc>
        <w:tc>
          <w:tcPr>
            <w:tcW w:type="dxa" w:w="4680"/>
            <w:shd w:val="clear" w:color="auto" w:fill="EFF9FC"/>
          </w:tcPr>
          <w:p>
            <w:pPr>
              <w:jc w:val="left"/>
            </w:pPr>
            <w:r>
              <w:rPr>
                <w:rFonts w:ascii="Calibri" w:hAnsi="Calibri"/>
                <w:b w:val="0"/>
                <w:i w:val="0"/>
                <w:sz w:val="18"/>
              </w:rPr>
              <w:t>35.9 °C</w:t>
            </w:r>
          </w:p>
        </w:tc>
      </w:tr>
      <w:tr>
        <w:tc>
          <w:tcPr>
            <w:tcW w:type="dxa" w:w="4680"/>
            <w:shd w:val="clear" w:color="auto" w:fill="0D4F6B"/>
          </w:tcPr>
          <w:p>
            <w:pPr>
              <w:jc w:val="left"/>
            </w:pPr>
            <w:r>
              <w:rPr>
                <w:rFonts w:ascii="Calibri" w:hAnsi="Calibri"/>
                <w:b/>
                <w:i w:val="0"/>
                <w:color w:val="FFFFFF"/>
                <w:sz w:val="18"/>
              </w:rPr>
              <w:t>EQUIPMENT SIZING</w:t>
            </w:r>
          </w:p>
        </w:tc>
        <w:tc>
          <w:tcPr>
            <w:tcW w:type="dxa" w:w="4680"/>
            <w:shd w:val="clear" w:color="auto" w:fill="0D4F6B"/>
          </w:tcPr>
          <w:p>
            <w:pPr>
              <w:jc w:val="left"/>
            </w:pPr>
            <w:r>
              <w:rPr>
                <w:rFonts w:ascii="Calibri" w:hAnsi="Calibri"/>
                <w:b w:val="0"/>
                <w:i w:val="0"/>
                <w:color w:val="FFFFFF"/>
                <w:sz w:val="18"/>
              </w:rPr>
            </w:r>
          </w:p>
        </w:tc>
      </w:tr>
      <w:tr>
        <w:tc>
          <w:tcPr>
            <w:tcW w:type="dxa" w:w="4680"/>
            <w:shd w:val="clear" w:color="auto" w:fill="CCF0FA"/>
          </w:tcPr>
          <w:p>
            <w:pPr>
              <w:jc w:val="left"/>
            </w:pPr>
            <w:r>
              <w:rPr>
                <w:rFonts w:ascii="Calibri" w:hAnsi="Calibri"/>
                <w:b/>
                <w:i w:val="0"/>
                <w:color w:val="0B3D91"/>
                <w:sz w:val="18"/>
              </w:rPr>
              <w:t>Heating Equipment Size</w:t>
            </w:r>
          </w:p>
        </w:tc>
        <w:tc>
          <w:tcPr>
            <w:tcW w:type="dxa" w:w="4680"/>
            <w:shd w:val="clear" w:color="auto" w:fill="CCF0FA"/>
          </w:tcPr>
          <w:p>
            <w:pPr>
              <w:jc w:val="left"/>
            </w:pPr>
            <w:r>
              <w:rPr>
                <w:rFonts w:ascii="Calibri" w:hAnsi="Calibri"/>
                <w:b/>
                <w:i w:val="0"/>
                <w:color w:val="0B3D91"/>
                <w:sz w:val="18"/>
              </w:rPr>
              <w:t>173.7 kW</w:t>
            </w:r>
          </w:p>
        </w:tc>
      </w:tr>
      <w:tr>
        <w:tc>
          <w:tcPr>
            <w:tcW w:type="dxa" w:w="4680"/>
            <w:shd w:val="clear" w:color="auto" w:fill="FFFFFF"/>
          </w:tcPr>
          <w:p>
            <w:pPr>
              <w:jc w:val="left"/>
            </w:pPr>
            <w:r>
              <w:rPr>
                <w:rFonts w:ascii="Calibri" w:hAnsi="Calibri"/>
                <w:b/>
                <w:i w:val="0"/>
                <w:sz w:val="18"/>
              </w:rPr>
              <w:t xml:space="preserve">  └ Initial Heat-up Component</w:t>
            </w:r>
          </w:p>
        </w:tc>
        <w:tc>
          <w:tcPr>
            <w:tcW w:type="dxa" w:w="4680"/>
            <w:shd w:val="clear" w:color="auto" w:fill="FFFFFF"/>
          </w:tcPr>
          <w:p>
            <w:pPr>
              <w:jc w:val="left"/>
            </w:pPr>
            <w:r>
              <w:rPr>
                <w:rFonts w:ascii="Calibri" w:hAnsi="Calibri"/>
                <w:b w:val="0"/>
                <w:i w:val="0"/>
                <w:sz w:val="18"/>
              </w:rPr>
              <w:t>54.2 kW</w:t>
            </w:r>
          </w:p>
        </w:tc>
      </w:tr>
      <w:tr>
        <w:tc>
          <w:tcPr>
            <w:tcW w:type="dxa" w:w="4680"/>
            <w:shd w:val="clear" w:color="auto" w:fill="EFF9FC"/>
          </w:tcPr>
          <w:p>
            <w:pPr>
              <w:jc w:val="left"/>
            </w:pPr>
            <w:r>
              <w:rPr>
                <w:rFonts w:ascii="Calibri" w:hAnsi="Calibri"/>
                <w:b/>
                <w:i w:val="0"/>
                <w:sz w:val="18"/>
              </w:rPr>
              <w:t xml:space="preserve">  └ Maintenance at Design Temp</w:t>
            </w:r>
          </w:p>
        </w:tc>
        <w:tc>
          <w:tcPr>
            <w:tcW w:type="dxa" w:w="4680"/>
            <w:shd w:val="clear" w:color="auto" w:fill="EFF9FC"/>
          </w:tcPr>
          <w:p>
            <w:pPr>
              <w:jc w:val="left"/>
            </w:pPr>
            <w:r>
              <w:rPr>
                <w:rFonts w:ascii="Calibri" w:hAnsi="Calibri"/>
                <w:b w:val="0"/>
                <w:i w:val="0"/>
                <w:sz w:val="18"/>
              </w:rPr>
              <w:t>119.5 kW</w:t>
            </w:r>
          </w:p>
        </w:tc>
      </w:tr>
      <w:tr>
        <w:tc>
          <w:tcPr>
            <w:tcW w:type="dxa" w:w="4680"/>
            <w:shd w:val="clear" w:color="auto" w:fill="CCF0FA"/>
          </w:tcPr>
          <w:p>
            <w:pPr>
              <w:jc w:val="left"/>
            </w:pPr>
            <w:r>
              <w:rPr>
                <w:rFonts w:ascii="Calibri" w:hAnsi="Calibri"/>
                <w:b/>
                <w:i w:val="0"/>
                <w:color w:val="0B3D91"/>
                <w:sz w:val="18"/>
              </w:rPr>
              <w:t>Cooling Equipment Size</w:t>
            </w:r>
          </w:p>
        </w:tc>
        <w:tc>
          <w:tcPr>
            <w:tcW w:type="dxa" w:w="4680"/>
            <w:shd w:val="clear" w:color="auto" w:fill="CCF0FA"/>
          </w:tcPr>
          <w:p>
            <w:pPr>
              <w:jc w:val="left"/>
            </w:pPr>
            <w:r>
              <w:rPr>
                <w:rFonts w:ascii="Calibri" w:hAnsi="Calibri"/>
                <w:b/>
                <w:i w:val="0"/>
                <w:color w:val="0B3D91"/>
                <w:sz w:val="18"/>
              </w:rPr>
              <w:t>25.4 kW</w:t>
            </w:r>
          </w:p>
        </w:tc>
      </w:tr>
      <w:tr>
        <w:tc>
          <w:tcPr>
            <w:tcW w:type="dxa" w:w="4680"/>
            <w:shd w:val="clear" w:color="auto" w:fill="EFF9FC"/>
          </w:tcPr>
          <w:p>
            <w:pPr>
              <w:jc w:val="left"/>
            </w:pPr>
            <w:r>
              <w:rPr>
                <w:rFonts w:ascii="Calibri" w:hAnsi="Calibri"/>
                <w:b/>
                <w:i w:val="0"/>
                <w:sz w:val="18"/>
              </w:rPr>
              <w:t xml:space="preserve">  └ q1 Pull-down (one-off initial cool-down)</w:t>
            </w:r>
          </w:p>
        </w:tc>
        <w:tc>
          <w:tcPr>
            <w:tcW w:type="dxa" w:w="4680"/>
            <w:shd w:val="clear" w:color="auto" w:fill="EFF9FC"/>
          </w:tcPr>
          <w:p>
            <w:pPr>
              <w:jc w:val="left"/>
            </w:pPr>
            <w:r>
              <w:rPr>
                <w:rFonts w:ascii="Calibri" w:hAnsi="Calibri"/>
                <w:b w:val="0"/>
                <w:i w:val="0"/>
                <w:sz w:val="18"/>
              </w:rPr>
              <w:t>25.4 kW</w:t>
            </w:r>
          </w:p>
        </w:tc>
      </w:tr>
      <w:tr>
        <w:tc>
          <w:tcPr>
            <w:tcW w:type="dxa" w:w="4680"/>
            <w:shd w:val="clear" w:color="auto" w:fill="FFFFFF"/>
          </w:tcPr>
          <w:p>
            <w:pPr>
              <w:jc w:val="left"/>
            </w:pPr>
            <w:r>
              <w:rPr>
                <w:rFonts w:ascii="Calibri" w:hAnsi="Calibri"/>
                <w:b/>
                <w:i w:val="0"/>
                <w:sz w:val="18"/>
              </w:rPr>
              <w:t xml:space="preserve">  └ q2 Maintenance at Design Temp</w:t>
            </w:r>
          </w:p>
        </w:tc>
        <w:tc>
          <w:tcPr>
            <w:tcW w:type="dxa" w:w="4680"/>
            <w:shd w:val="clear" w:color="auto" w:fill="FFFFFF"/>
          </w:tcPr>
          <w:p>
            <w:pPr>
              <w:jc w:val="left"/>
            </w:pPr>
            <w:r>
              <w:rPr>
                <w:rFonts w:ascii="Calibri" w:hAnsi="Calibri"/>
                <w:b w:val="0"/>
                <w:i w:val="0"/>
                <w:sz w:val="18"/>
              </w:rPr>
              <w:t>0.0 kW  (mean state still a heating load)  (unoccupied pool governs)</w:t>
            </w:r>
          </w:p>
        </w:tc>
      </w:tr>
      <w:tr>
        <w:tc>
          <w:tcPr>
            <w:tcW w:type="dxa" w:w="4680"/>
            <w:shd w:val="clear" w:color="auto" w:fill="EFF9FC"/>
          </w:tcPr>
          <w:p>
            <w:pPr>
              <w:jc w:val="left"/>
            </w:pPr>
            <w:r>
              <w:rPr>
                <w:rFonts w:ascii="Calibri" w:hAnsi="Calibri"/>
                <w:b/>
                <w:i w:val="0"/>
                <w:sz w:val="18"/>
              </w:rPr>
              <w:t xml:space="preserve">  └ Implied Summer Water Rise (upper bound, set-point dependent)</w:t>
            </w:r>
          </w:p>
        </w:tc>
        <w:tc>
          <w:tcPr>
            <w:tcW w:type="dxa" w:w="4680"/>
            <w:shd w:val="clear" w:color="auto" w:fill="EFF9FC"/>
          </w:tcPr>
          <w:p>
            <w:pPr>
              <w:jc w:val="left"/>
            </w:pPr>
            <w:r>
              <w:rPr>
                <w:rFonts w:ascii="Calibri" w:hAnsi="Calibri"/>
                <w:b w:val="0"/>
                <w:i w:val="0"/>
                <w:sz w:val="18"/>
              </w:rPr>
              <w:t>up to 5.96 °C (at 22 Jul 2024 17:00); median of the daily maxima 0.66 °C; summer set-point 30.0 °C</w:t>
            </w:r>
          </w:p>
        </w:tc>
      </w:tr>
      <w:tr>
        <w:tc>
          <w:tcPr>
            <w:tcW w:type="dxa" w:w="4680"/>
            <w:shd w:val="clear" w:color="auto" w:fill="0D4F6B"/>
          </w:tcPr>
          <w:p>
            <w:pPr>
              <w:jc w:val="left"/>
            </w:pPr>
            <w:r>
              <w:rPr>
                <w:rFonts w:ascii="Calibri" w:hAnsi="Calibri"/>
                <w:b/>
                <w:i w:val="0"/>
                <w:color w:val="FFFFFF"/>
                <w:sz w:val="18"/>
              </w:rPr>
              <w:t>SIMULATION PEAKS</w:t>
            </w:r>
          </w:p>
        </w:tc>
        <w:tc>
          <w:tcPr>
            <w:tcW w:type="dxa" w:w="4680"/>
            <w:shd w:val="clear" w:color="auto" w:fill="0D4F6B"/>
          </w:tcPr>
          <w:p>
            <w:pPr>
              <w:jc w:val="left"/>
            </w:pPr>
            <w:r>
              <w:rPr>
                <w:rFonts w:ascii="Calibri" w:hAnsi="Calibri"/>
                <w:b w:val="0"/>
                <w:i w:val="0"/>
                <w:color w:val="FFFFFF"/>
                <w:sz w:val="18"/>
              </w:rPr>
            </w:r>
          </w:p>
        </w:tc>
      </w:tr>
      <w:tr>
        <w:tc>
          <w:tcPr>
            <w:tcW w:type="dxa" w:w="4680"/>
            <w:shd w:val="clear" w:color="auto" w:fill="CCF0FA"/>
          </w:tcPr>
          <w:p>
            <w:pPr>
              <w:jc w:val="left"/>
            </w:pPr>
            <w:r>
              <w:rPr>
                <w:rFonts w:ascii="Calibri" w:hAnsi="Calibri"/>
                <w:b/>
                <w:i w:val="0"/>
                <w:color w:val="0B3D91"/>
                <w:sz w:val="18"/>
              </w:rPr>
              <w:t>Peak Heating Load</w:t>
            </w:r>
          </w:p>
        </w:tc>
        <w:tc>
          <w:tcPr>
            <w:tcW w:type="dxa" w:w="4680"/>
            <w:shd w:val="clear" w:color="auto" w:fill="CCF0FA"/>
          </w:tcPr>
          <w:p>
            <w:pPr>
              <w:jc w:val="left"/>
            </w:pPr>
            <w:r>
              <w:rPr>
                <w:rFonts w:ascii="Calibri" w:hAnsi="Calibri"/>
                <w:b/>
                <w:i w:val="0"/>
                <w:color w:val="0B3D91"/>
                <w:sz w:val="18"/>
              </w:rPr>
              <w:t>239.4 kW</w:t>
            </w:r>
          </w:p>
        </w:tc>
      </w:tr>
      <w:tr>
        <w:tc>
          <w:tcPr>
            <w:tcW w:type="dxa" w:w="4680"/>
            <w:shd w:val="clear" w:color="auto" w:fill="FFFFFF"/>
          </w:tcPr>
          <w:p>
            <w:pPr>
              <w:jc w:val="left"/>
            </w:pPr>
            <w:r>
              <w:rPr>
                <w:rFonts w:ascii="Calibri" w:hAnsi="Calibri"/>
                <w:b/>
                <w:i w:val="0"/>
                <w:sz w:val="18"/>
              </w:rPr>
              <w:t xml:space="preserve">  └ Month of Peak</w:t>
            </w:r>
          </w:p>
        </w:tc>
        <w:tc>
          <w:tcPr>
            <w:tcW w:type="dxa" w:w="4680"/>
            <w:shd w:val="clear" w:color="auto" w:fill="FFFFFF"/>
          </w:tcPr>
          <w:p>
            <w:pPr>
              <w:jc w:val="left"/>
            </w:pPr>
            <w:r>
              <w:rPr>
                <w:rFonts w:ascii="Calibri" w:hAnsi="Calibri"/>
                <w:b w:val="0"/>
                <w:i w:val="0"/>
                <w:sz w:val="18"/>
              </w:rPr>
              <w:t>March 2024</w:t>
            </w:r>
          </w:p>
        </w:tc>
      </w:tr>
      <w:tr>
        <w:tc>
          <w:tcPr>
            <w:tcW w:type="dxa" w:w="4680"/>
            <w:shd w:val="clear" w:color="auto" w:fill="EFF9FC"/>
          </w:tcPr>
          <w:p>
            <w:pPr>
              <w:jc w:val="left"/>
            </w:pPr>
            <w:r>
              <w:rPr>
                <w:rFonts w:ascii="Calibri" w:hAnsi="Calibri"/>
                <w:b/>
                <w:i w:val="0"/>
                <w:sz w:val="18"/>
              </w:rPr>
              <w:t xml:space="preserve">  └ Heating Target (hourly heating, all months)</w:t>
            </w:r>
          </w:p>
        </w:tc>
        <w:tc>
          <w:tcPr>
            <w:tcW w:type="dxa" w:w="4680"/>
            <w:shd w:val="clear" w:color="auto" w:fill="EFF9FC"/>
          </w:tcPr>
          <w:p>
            <w:pPr>
              <w:jc w:val="left"/>
            </w:pPr>
            <w:r>
              <w:rPr>
                <w:rFonts w:ascii="Calibri" w:hAnsi="Calibri"/>
                <w:b w:val="0"/>
                <w:i w:val="0"/>
                <w:sz w:val="18"/>
              </w:rPr>
              <w:t>Winter set-point 26.0 °C (heating only below it)</w:t>
            </w:r>
          </w:p>
        </w:tc>
      </w:tr>
      <w:tr>
        <w:tc>
          <w:tcPr>
            <w:tcW w:type="dxa" w:w="4680"/>
            <w:shd w:val="clear" w:color="auto" w:fill="CCF0FA"/>
          </w:tcPr>
          <w:p>
            <w:pPr>
              <w:jc w:val="left"/>
            </w:pPr>
            <w:r>
              <w:rPr>
                <w:rFonts w:ascii="Calibri" w:hAnsi="Calibri"/>
                <w:b/>
                <w:i w:val="0"/>
                <w:color w:val="0B3D91"/>
                <w:sz w:val="18"/>
              </w:rPr>
              <w:t>Peak Cooling Load</w:t>
            </w:r>
          </w:p>
        </w:tc>
        <w:tc>
          <w:tcPr>
            <w:tcW w:type="dxa" w:w="4680"/>
            <w:shd w:val="clear" w:color="auto" w:fill="CCF0FA"/>
          </w:tcPr>
          <w:p>
            <w:pPr>
              <w:jc w:val="left"/>
            </w:pPr>
            <w:r>
              <w:rPr>
                <w:rFonts w:ascii="Calibri" w:hAnsi="Calibri"/>
                <w:b/>
                <w:i w:val="0"/>
                <w:color w:val="0B3D91"/>
                <w:sz w:val="18"/>
              </w:rPr>
              <w:t>159.1 kW</w:t>
            </w:r>
          </w:p>
        </w:tc>
      </w:tr>
      <w:tr>
        <w:tc>
          <w:tcPr>
            <w:tcW w:type="dxa" w:w="4680"/>
            <w:shd w:val="clear" w:color="auto" w:fill="EFF9FC"/>
          </w:tcPr>
          <w:p>
            <w:pPr>
              <w:jc w:val="left"/>
            </w:pPr>
            <w:r>
              <w:rPr>
                <w:rFonts w:ascii="Calibri" w:hAnsi="Calibri"/>
                <w:b/>
                <w:i w:val="0"/>
                <w:sz w:val="18"/>
              </w:rPr>
              <w:t xml:space="preserve">  └ Month of Peak</w:t>
            </w:r>
          </w:p>
        </w:tc>
        <w:tc>
          <w:tcPr>
            <w:tcW w:type="dxa" w:w="4680"/>
            <w:shd w:val="clear" w:color="auto" w:fill="EFF9FC"/>
          </w:tcPr>
          <w:p>
            <w:pPr>
              <w:jc w:val="left"/>
            </w:pPr>
            <w:r>
              <w:rPr>
                <w:rFonts w:ascii="Calibri" w:hAnsi="Calibri"/>
                <w:b w:val="0"/>
                <w:i w:val="0"/>
                <w:sz w:val="18"/>
              </w:rPr>
              <w:t>July 2024</w:t>
            </w:r>
          </w:p>
        </w:tc>
      </w:tr>
      <w:tr>
        <w:tc>
          <w:tcPr>
            <w:tcW w:type="dxa" w:w="4680"/>
            <w:shd w:val="clear" w:color="auto" w:fill="FFFFFF"/>
          </w:tcPr>
          <w:p>
            <w:pPr>
              <w:jc w:val="left"/>
            </w:pPr>
            <w:r>
              <w:rPr>
                <w:rFonts w:ascii="Calibri" w:hAnsi="Calibri"/>
                <w:b/>
                <w:i w:val="0"/>
                <w:sz w:val="18"/>
              </w:rPr>
              <w:t xml:space="preserve">  └ Cooling Target (hourly cooling, all months)</w:t>
            </w:r>
          </w:p>
        </w:tc>
        <w:tc>
          <w:tcPr>
            <w:tcW w:type="dxa" w:w="4680"/>
            <w:shd w:val="clear" w:color="auto" w:fill="FFFFFF"/>
          </w:tcPr>
          <w:p>
            <w:pPr>
              <w:jc w:val="left"/>
            </w:pPr>
            <w:r>
              <w:rPr>
                <w:rFonts w:ascii="Calibri" w:hAnsi="Calibri"/>
                <w:b w:val="0"/>
                <w:i w:val="0"/>
                <w:sz w:val="18"/>
              </w:rPr>
              <w:t>Summer set-point 30.0 °C (cooling only above it)</w:t>
            </w:r>
          </w:p>
        </w:tc>
      </w:tr>
      <w:tr>
        <w:tc>
          <w:tcPr>
            <w:tcW w:type="dxa" w:w="4680"/>
            <w:shd w:val="clear" w:color="auto" w:fill="0D4F6B"/>
          </w:tcPr>
          <w:p>
            <w:pPr>
              <w:jc w:val="left"/>
            </w:pPr>
            <w:r>
              <w:rPr>
                <w:rFonts w:ascii="Calibri" w:hAnsi="Calibri"/>
                <w:b/>
                <w:i w:val="0"/>
                <w:color w:val="FFFFFF"/>
                <w:sz w:val="18"/>
              </w:rPr>
              <w:t>ANNUAL ENERGY</w:t>
            </w:r>
          </w:p>
        </w:tc>
        <w:tc>
          <w:tcPr>
            <w:tcW w:type="dxa" w:w="4680"/>
            <w:shd w:val="clear" w:color="auto" w:fill="0D4F6B"/>
          </w:tcPr>
          <w:p>
            <w:pPr>
              <w:jc w:val="left"/>
            </w:pPr>
            <w:r>
              <w:rPr>
                <w:rFonts w:ascii="Calibri" w:hAnsi="Calibri"/>
                <w:b w:val="0"/>
                <w:i w:val="0"/>
                <w:color w:val="FFFFFF"/>
                <w:sz w:val="18"/>
              </w:rPr>
            </w:r>
          </w:p>
        </w:tc>
      </w:tr>
      <w:tr>
        <w:tc>
          <w:tcPr>
            <w:tcW w:type="dxa" w:w="4680"/>
            <w:shd w:val="clear" w:color="auto" w:fill="FFFFFF"/>
          </w:tcPr>
          <w:p>
            <w:pPr>
              <w:jc w:val="left"/>
            </w:pPr>
            <w:r>
              <w:rPr>
                <w:rFonts w:ascii="Calibri" w:hAnsi="Calibri"/>
                <w:b/>
                <w:i w:val="0"/>
                <w:sz w:val="18"/>
              </w:rPr>
              <w:t>Heating Energy over the Simulated Period (366 days)</w:t>
            </w:r>
          </w:p>
        </w:tc>
        <w:tc>
          <w:tcPr>
            <w:tcW w:type="dxa" w:w="4680"/>
            <w:shd w:val="clear" w:color="auto" w:fill="FFFFFF"/>
          </w:tcPr>
          <w:p>
            <w:pPr>
              <w:jc w:val="left"/>
            </w:pPr>
            <w:r>
              <w:rPr>
                <w:rFonts w:ascii="Calibri" w:hAnsi="Calibri"/>
                <w:b w:val="0"/>
                <w:i w:val="0"/>
                <w:sz w:val="18"/>
              </w:rPr>
              <w:t>379,031 kWh</w:t>
            </w:r>
          </w:p>
        </w:tc>
      </w:tr>
      <w:tr>
        <w:tc>
          <w:tcPr>
            <w:tcW w:type="dxa" w:w="4680"/>
            <w:shd w:val="clear" w:color="auto" w:fill="EFF9FC"/>
          </w:tcPr>
          <w:p>
            <w:pPr>
              <w:jc w:val="left"/>
            </w:pPr>
            <w:r>
              <w:rPr>
                <w:rFonts w:ascii="Calibri" w:hAnsi="Calibri"/>
                <w:b/>
                <w:i w:val="0"/>
                <w:sz w:val="18"/>
              </w:rPr>
              <w:t>Cooling Energy over the Simulated Period (366 days)</w:t>
            </w:r>
          </w:p>
        </w:tc>
        <w:tc>
          <w:tcPr>
            <w:tcW w:type="dxa" w:w="4680"/>
            <w:shd w:val="clear" w:color="auto" w:fill="EFF9FC"/>
          </w:tcPr>
          <w:p>
            <w:pPr>
              <w:jc w:val="left"/>
            </w:pPr>
            <w:r>
              <w:rPr>
                <w:rFonts w:ascii="Calibri" w:hAnsi="Calibri"/>
                <w:b w:val="0"/>
                <w:i w:val="0"/>
                <w:sz w:val="18"/>
              </w:rPr>
              <w:t>46,479 kWh</w:t>
            </w:r>
          </w:p>
        </w:tc>
      </w:tr>
      <w:tr>
        <w:tc>
          <w:tcPr>
            <w:tcW w:type="dxa" w:w="4680"/>
            <w:shd w:val="clear" w:color="auto" w:fill="FFFFFF"/>
          </w:tcPr>
          <w:p>
            <w:pPr>
              <w:jc w:val="left"/>
            </w:pPr>
            <w:r>
              <w:rPr>
                <w:rFonts w:ascii="Calibri" w:hAnsi="Calibri"/>
                <w:b/>
                <w:i w:val="0"/>
                <w:sz w:val="18"/>
              </w:rPr>
              <w:t>Est. Annual Heating Energy (period / 1 whole calendar year)</w:t>
            </w:r>
          </w:p>
        </w:tc>
        <w:tc>
          <w:tcPr>
            <w:tcW w:type="dxa" w:w="4680"/>
            <w:shd w:val="clear" w:color="auto" w:fill="FFFFFF"/>
          </w:tcPr>
          <w:p>
            <w:pPr>
              <w:jc w:val="left"/>
            </w:pPr>
            <w:r>
              <w:rPr>
                <w:rFonts w:ascii="Calibri" w:hAnsi="Calibri"/>
                <w:b w:val="0"/>
                <w:i w:val="0"/>
                <w:sz w:val="18"/>
              </w:rPr>
              <w:t>379,031 kWh</w:t>
            </w:r>
          </w:p>
        </w:tc>
      </w:tr>
      <w:tr>
        <w:tc>
          <w:tcPr>
            <w:tcW w:type="dxa" w:w="4680"/>
            <w:shd w:val="clear" w:color="auto" w:fill="EFF9FC"/>
          </w:tcPr>
          <w:p>
            <w:pPr>
              <w:jc w:val="left"/>
            </w:pPr>
            <w:r>
              <w:rPr>
                <w:rFonts w:ascii="Calibri" w:hAnsi="Calibri"/>
                <w:b/>
                <w:i w:val="0"/>
                <w:sz w:val="18"/>
              </w:rPr>
              <w:t>Est. Annual Cooling Energy (period / 1 whole calendar year)</w:t>
            </w:r>
          </w:p>
        </w:tc>
        <w:tc>
          <w:tcPr>
            <w:tcW w:type="dxa" w:w="4680"/>
            <w:shd w:val="clear" w:color="auto" w:fill="EFF9FC"/>
          </w:tcPr>
          <w:p>
            <w:pPr>
              <w:jc w:val="left"/>
            </w:pPr>
            <w:r>
              <w:rPr>
                <w:rFonts w:ascii="Calibri" w:hAnsi="Calibri"/>
                <w:b w:val="0"/>
                <w:i w:val="0"/>
                <w:sz w:val="18"/>
              </w:rPr>
              <w:t>46,479 kWh</w:t>
            </w:r>
          </w:p>
        </w:tc>
      </w:tr>
    </w:tbl>
    <w:p/>
    <w:p>
      <w:r>
        <w:rPr>
          <w:rFonts w:ascii="Calibri" w:hAnsi="Calibri"/>
          <w:b/>
          <w:color w:val="0A2540"/>
          <w:sz w:val="22"/>
        </w:rPr>
        <w:t>Heat Loss Component Breakdown at Heating Design Condition</w:t>
      </w:r>
    </w:p>
    <w:tbl>
      <w:tblPr>
        <w:tblStyle w:val="TableGrid"/>
        <w:tblW w:type="auto" w:w="0"/>
        <w:tblLook w:firstColumn="1" w:firstRow="1" w:lastColumn="0" w:lastRow="0" w:noHBand="0" w:noVBand="1" w:val="04A0"/>
      </w:tblPr>
      <w:tblGrid>
        <w:gridCol w:w="4680"/>
        <w:gridCol w:w="4680"/>
      </w:tblGrid>
      <w:tr>
        <w:tc>
          <w:tcPr>
            <w:tcW w:type="dxa" w:w="4680"/>
            <w:shd w:val="clear" w:color="auto" w:fill="0A2540"/>
          </w:tcPr>
          <w:p>
            <w:pPr>
              <w:jc w:val="center"/>
            </w:pPr>
            <w:r>
              <w:rPr>
                <w:rFonts w:ascii="Calibri" w:hAnsi="Calibri"/>
                <w:b/>
                <w:i w:val="0"/>
                <w:color w:val="FFFFFF"/>
                <w:sz w:val="18"/>
              </w:rPr>
              <w:t>Parameter</w:t>
            </w:r>
          </w:p>
        </w:tc>
        <w:tc>
          <w:tcPr>
            <w:tcW w:type="dxa" w:w="4680"/>
            <w:shd w:val="clear" w:color="auto" w:fill="0A2540"/>
          </w:tcPr>
          <w:p>
            <w:pPr>
              <w:jc w:val="center"/>
            </w:pPr>
            <w:r>
              <w:rPr>
                <w:rFonts w:ascii="Calibri" w:hAnsi="Calibri"/>
                <w:b/>
                <w:i w:val="0"/>
                <w:color w:val="FFFFFF"/>
                <w:sz w:val="18"/>
              </w:rPr>
              <w:t>Value</w:t>
            </w:r>
          </w:p>
        </w:tc>
      </w:tr>
      <w:tr>
        <w:tc>
          <w:tcPr>
            <w:tcW w:type="dxa" w:w="4680"/>
            <w:shd w:val="clear" w:color="auto" w:fill="EFF9FC"/>
          </w:tcPr>
          <w:p>
            <w:pPr>
              <w:jc w:val="left"/>
            </w:pPr>
            <w:r>
              <w:rPr>
                <w:rFonts w:ascii="Calibri" w:hAnsi="Calibri"/>
                <w:b w:val="0"/>
                <w:i w:val="0"/>
                <w:sz w:val="18"/>
              </w:rPr>
              <w:t>Evaporation Loss</w:t>
            </w:r>
          </w:p>
        </w:tc>
        <w:tc>
          <w:tcPr>
            <w:tcW w:type="dxa" w:w="4680"/>
            <w:shd w:val="clear" w:color="auto" w:fill="EFF9FC"/>
          </w:tcPr>
          <w:p>
            <w:pPr>
              <w:jc w:val="left"/>
            </w:pPr>
            <w:r>
              <w:rPr>
                <w:rFonts w:ascii="Calibri" w:hAnsi="Calibri"/>
                <w:b/>
                <w:i w:val="0"/>
                <w:color w:val="0B3D91"/>
                <w:sz w:val="18"/>
              </w:rPr>
              <w:t>84.9 kW</w:t>
            </w:r>
          </w:p>
        </w:tc>
      </w:tr>
      <w:tr>
        <w:tc>
          <w:tcPr>
            <w:tcW w:type="dxa" w:w="4680"/>
            <w:shd w:val="clear" w:color="auto" w:fill="FFFFFF"/>
          </w:tcPr>
          <w:p>
            <w:pPr>
              <w:jc w:val="left"/>
            </w:pPr>
            <w:r>
              <w:rPr>
                <w:rFonts w:ascii="Calibri" w:hAnsi="Calibri"/>
                <w:b w:val="0"/>
                <w:i w:val="0"/>
                <w:sz w:val="18"/>
              </w:rPr>
              <w:t>Convection Loss</w:t>
            </w:r>
          </w:p>
        </w:tc>
        <w:tc>
          <w:tcPr>
            <w:tcW w:type="dxa" w:w="4680"/>
            <w:shd w:val="clear" w:color="auto" w:fill="FFFFFF"/>
          </w:tcPr>
          <w:p>
            <w:pPr>
              <w:jc w:val="left"/>
            </w:pPr>
            <w:r>
              <w:rPr>
                <w:rFonts w:ascii="Calibri" w:hAnsi="Calibri"/>
                <w:b/>
                <w:i w:val="0"/>
                <w:color w:val="0B3D91"/>
                <w:sz w:val="18"/>
              </w:rPr>
              <w:t>16.1 kW</w:t>
            </w:r>
          </w:p>
        </w:tc>
      </w:tr>
      <w:tr>
        <w:tc>
          <w:tcPr>
            <w:tcW w:type="dxa" w:w="4680"/>
            <w:shd w:val="clear" w:color="auto" w:fill="EFF9FC"/>
          </w:tcPr>
          <w:p>
            <w:pPr>
              <w:jc w:val="left"/>
            </w:pPr>
            <w:r>
              <w:rPr>
                <w:rFonts w:ascii="Calibri" w:hAnsi="Calibri"/>
                <w:b w:val="0"/>
                <w:i w:val="0"/>
                <w:sz w:val="18"/>
              </w:rPr>
              <w:t>Radiation Loss</w:t>
            </w:r>
          </w:p>
        </w:tc>
        <w:tc>
          <w:tcPr>
            <w:tcW w:type="dxa" w:w="4680"/>
            <w:shd w:val="clear" w:color="auto" w:fill="EFF9FC"/>
          </w:tcPr>
          <w:p>
            <w:pPr>
              <w:jc w:val="left"/>
            </w:pPr>
            <w:r>
              <w:rPr>
                <w:rFonts w:ascii="Calibri" w:hAnsi="Calibri"/>
                <w:b/>
                <w:i w:val="0"/>
                <w:color w:val="0B3D91"/>
                <w:sz w:val="18"/>
              </w:rPr>
              <w:t>16.5 kW</w:t>
            </w:r>
          </w:p>
        </w:tc>
      </w:tr>
      <w:tr>
        <w:tc>
          <w:tcPr>
            <w:tcW w:type="dxa" w:w="4680"/>
            <w:shd w:val="clear" w:color="auto" w:fill="FFFFFF"/>
          </w:tcPr>
          <w:p>
            <w:pPr>
              <w:jc w:val="left"/>
            </w:pPr>
            <w:r>
              <w:rPr>
                <w:rFonts w:ascii="Calibri" w:hAnsi="Calibri"/>
                <w:b w:val="0"/>
                <w:i w:val="0"/>
                <w:sz w:val="18"/>
              </w:rPr>
              <w:t>Solar Gain (offset)</w:t>
            </w:r>
          </w:p>
        </w:tc>
        <w:tc>
          <w:tcPr>
            <w:tcW w:type="dxa" w:w="4680"/>
            <w:shd w:val="clear" w:color="auto" w:fill="FFFFFF"/>
          </w:tcPr>
          <w:p>
            <w:pPr>
              <w:jc w:val="left"/>
            </w:pPr>
            <w:r>
              <w:rPr>
                <w:rFonts w:ascii="Calibri" w:hAnsi="Calibri"/>
                <w:b/>
                <w:i w:val="0"/>
                <w:color w:val="0B3D91"/>
                <w:sz w:val="18"/>
              </w:rPr>
              <w:t>0.0 kW</w:t>
            </w:r>
          </w:p>
        </w:tc>
      </w:tr>
      <w:tr>
        <w:tc>
          <w:tcPr>
            <w:tcW w:type="dxa" w:w="4680"/>
            <w:shd w:val="clear" w:color="auto" w:fill="EFF9FC"/>
          </w:tcPr>
          <w:p>
            <w:pPr>
              <w:jc w:val="left"/>
            </w:pPr>
            <w:r>
              <w:rPr>
                <w:rFonts w:ascii="Calibri" w:hAnsi="Calibri"/>
                <w:b w:val="0"/>
                <w:i w:val="0"/>
                <w:sz w:val="18"/>
              </w:rPr>
              <w:t>Net Loss (ex makeup)</w:t>
            </w:r>
          </w:p>
        </w:tc>
        <w:tc>
          <w:tcPr>
            <w:tcW w:type="dxa" w:w="4680"/>
            <w:shd w:val="clear" w:color="auto" w:fill="EFF9FC"/>
          </w:tcPr>
          <w:p>
            <w:pPr>
              <w:jc w:val="left"/>
            </w:pPr>
            <w:r>
              <w:rPr>
                <w:rFonts w:ascii="Calibri" w:hAnsi="Calibri"/>
                <w:b/>
                <w:i w:val="0"/>
                <w:color w:val="0B3D91"/>
                <w:sz w:val="18"/>
              </w:rPr>
              <w:t>117.5 kW</w:t>
            </w:r>
          </w:p>
        </w:tc>
      </w:tr>
      <w:tr>
        <w:tc>
          <w:tcPr>
            <w:tcW w:type="dxa" w:w="4680"/>
            <w:shd w:val="clear" w:color="auto" w:fill="FFFFFF"/>
          </w:tcPr>
          <w:p>
            <w:pPr>
              <w:jc w:val="left"/>
            </w:pPr>
            <w:r>
              <w:rPr>
                <w:rFonts w:ascii="Calibri" w:hAnsi="Calibri"/>
                <w:b w:val="0"/>
                <w:i w:val="0"/>
                <w:sz w:val="18"/>
              </w:rPr>
              <w:t>Makeup Water Heat</w:t>
            </w:r>
          </w:p>
        </w:tc>
        <w:tc>
          <w:tcPr>
            <w:tcW w:type="dxa" w:w="4680"/>
            <w:shd w:val="clear" w:color="auto" w:fill="FFFFFF"/>
          </w:tcPr>
          <w:p>
            <w:pPr>
              <w:jc w:val="left"/>
            </w:pPr>
            <w:r>
              <w:rPr>
                <w:rFonts w:ascii="Calibri" w:hAnsi="Calibri"/>
                <w:b/>
                <w:i w:val="0"/>
                <w:color w:val="0B3D91"/>
                <w:sz w:val="18"/>
              </w:rPr>
              <w:t>2.0 kW</w:t>
            </w:r>
          </w:p>
        </w:tc>
      </w:tr>
      <w:tr>
        <w:tc>
          <w:tcPr>
            <w:tcW w:type="dxa" w:w="4680"/>
            <w:shd w:val="clear" w:color="auto" w:fill="EFF9FC"/>
          </w:tcPr>
          <w:p>
            <w:pPr>
              <w:jc w:val="left"/>
            </w:pPr>
            <w:r>
              <w:rPr>
                <w:rFonts w:ascii="Calibri" w:hAnsi="Calibri"/>
                <w:b w:val="0"/>
                <w:i w:val="0"/>
                <w:sz w:val="18"/>
              </w:rPr>
              <w:t>Maintenance Load q2 (design)</w:t>
            </w:r>
          </w:p>
        </w:tc>
        <w:tc>
          <w:tcPr>
            <w:tcW w:type="dxa" w:w="4680"/>
            <w:shd w:val="clear" w:color="auto" w:fill="EFF9FC"/>
          </w:tcPr>
          <w:p>
            <w:pPr>
              <w:jc w:val="left"/>
            </w:pPr>
            <w:r>
              <w:rPr>
                <w:rFonts w:ascii="Calibri" w:hAnsi="Calibri"/>
                <w:b/>
                <w:i w:val="0"/>
                <w:color w:val="0B3D91"/>
                <w:sz w:val="18"/>
              </w:rPr>
              <w:t>119.5 kW</w:t>
            </w:r>
          </w:p>
        </w:tc>
      </w:tr>
    </w:tbl>
    <w:p/>
    <w:p>
      <w:pPr>
        <w:pStyle w:val="Heading1"/>
        <w:pBdr>
          <w:bottom w:val="single" w:sz="6" w:space="4" w:color="0A2540"/>
        </w:pBdr>
      </w:pPr>
      <w:r>
        <w:rPr>
          <w:rFonts w:ascii="Calibri" w:hAnsi="Calibri"/>
          <w:b/>
          <w:color w:val="0A2540"/>
          <w:sz w:val="26"/>
        </w:rPr>
        <w:t>6.  Load Profile Chart</w:t>
      </w:r>
    </w:p>
    <w:p>
      <w:r>
        <w:rPr>
          <w:rFonts w:ascii="Calibri" w:hAnsi="Calibri"/>
          <w:i w:val="0"/>
          <w:color w:val="374151"/>
          <w:sz w:val="18"/>
        </w:rPr>
        <w:t>The chart below shows the simulated heating and cooling loads over the simulation period. Heating loads are highest in winter months when ambient temperature and humidity are lowest. Cooling loads (if any) occur when solar gain exceeds heat losses at high ambient temperatures.</w:t>
      </w:r>
    </w:p>
    <w:p/>
    <w:p>
      <w:pPr>
        <w:jc w:val="center"/>
      </w:pPr>
      <w:r>
        <w:drawing>
          <wp:inline xmlns:a="http://schemas.openxmlformats.org/drawingml/2006/main" xmlns:pic="http://schemas.openxmlformats.org/drawingml/2006/picture">
            <wp:extent cx="5760720" cy="2859207"/>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5760720" cy="2859207"/>
                    </a:xfrm>
                    <a:prstGeom prst="rect"/>
                  </pic:spPr>
                </pic:pic>
              </a:graphicData>
            </a:graphic>
          </wp:inline>
        </w:drawing>
      </w:r>
    </w:p>
    <w:p/>
    <w:p>
      <w:pPr>
        <w:pStyle w:val="Heading1"/>
        <w:pBdr>
          <w:bottom w:val="single" w:sz="6" w:space="4" w:color="0A2540"/>
        </w:pBdr>
      </w:pPr>
      <w:r>
        <w:rPr>
          <w:rFonts w:ascii="Calibri" w:hAnsi="Calibri"/>
          <w:b/>
          <w:color w:val="0A2540"/>
          <w:sz w:val="26"/>
        </w:rPr>
        <w:t>7.  Equipment Schedule</w:t>
      </w:r>
    </w:p>
    <w:p>
      <w:r>
        <w:rPr>
          <w:rFonts w:ascii="Calibri" w:hAnsi="Calibri"/>
          <w:b/>
          <w:color w:val="0A2540"/>
          <w:sz w:val="22"/>
        </w:rPr>
        <w:t>Heat Pump Equipment Selection</w:t>
      </w:r>
    </w:p>
    <w:tbl>
      <w:tblPr>
        <w:tblStyle w:val="TableGrid"/>
        <w:tblW w:type="auto" w:w="0"/>
        <w:tblLook w:firstColumn="1" w:firstRow="1" w:lastColumn="0" w:lastRow="0" w:noHBand="0" w:noVBand="1" w:val="04A0"/>
      </w:tblPr>
      <w:tblGrid>
        <w:gridCol w:w="4680"/>
        <w:gridCol w:w="4680"/>
      </w:tblGrid>
      <w:tr>
        <w:tc>
          <w:tcPr>
            <w:tcW w:type="dxa" w:w="4680"/>
            <w:shd w:val="clear" w:color="auto" w:fill="0A2540"/>
          </w:tcPr>
          <w:p>
            <w:pPr>
              <w:jc w:val="center"/>
            </w:pPr>
            <w:r>
              <w:rPr>
                <w:rFonts w:ascii="Calibri" w:hAnsi="Calibri"/>
                <w:b/>
                <w:i w:val="0"/>
                <w:color w:val="FFFFFF"/>
                <w:sz w:val="18"/>
              </w:rPr>
              <w:t>Parameter</w:t>
            </w:r>
          </w:p>
        </w:tc>
        <w:tc>
          <w:tcPr>
            <w:tcW w:type="dxa" w:w="4680"/>
            <w:shd w:val="clear" w:color="auto" w:fill="0A2540"/>
          </w:tcPr>
          <w:p>
            <w:pPr>
              <w:jc w:val="center"/>
            </w:pPr>
            <w:r>
              <w:rPr>
                <w:rFonts w:ascii="Calibri" w:hAnsi="Calibri"/>
                <w:b/>
                <w:i w:val="0"/>
                <w:color w:val="FFFFFF"/>
                <w:sz w:val="18"/>
              </w:rPr>
              <w:t>Value</w:t>
            </w:r>
          </w:p>
        </w:tc>
      </w:tr>
      <w:tr>
        <w:tc>
          <w:tcPr>
            <w:tcW w:type="dxa" w:w="4680"/>
            <w:shd w:val="clear" w:color="auto" w:fill="0D4F6B"/>
          </w:tcPr>
          <w:p>
            <w:pPr>
              <w:jc w:val="left"/>
            </w:pPr>
            <w:r>
              <w:rPr>
                <w:rFonts w:ascii="Calibri" w:hAnsi="Calibri"/>
                <w:b/>
                <w:i w:val="0"/>
                <w:color w:val="FFFFFF"/>
                <w:sz w:val="18"/>
              </w:rPr>
              <w:t>SELECTED EQUIPMENT</w:t>
            </w:r>
          </w:p>
        </w:tc>
        <w:tc>
          <w:tcPr>
            <w:tcW w:type="dxa" w:w="4680"/>
            <w:shd w:val="clear" w:color="auto" w:fill="0D4F6B"/>
          </w:tcPr>
          <w:p>
            <w:pPr>
              <w:jc w:val="left"/>
            </w:pPr>
            <w:r>
              <w:rPr>
                <w:rFonts w:ascii="Calibri" w:hAnsi="Calibri"/>
                <w:b w:val="0"/>
                <w:i w:val="0"/>
                <w:color w:val="FFFFFF"/>
                <w:sz w:val="18"/>
              </w:rPr>
            </w:r>
          </w:p>
        </w:tc>
      </w:tr>
      <w:tr>
        <w:tc>
          <w:tcPr>
            <w:tcW w:type="dxa" w:w="4680"/>
            <w:shd w:val="clear" w:color="auto" w:fill="FFFFFF"/>
          </w:tcPr>
          <w:p>
            <w:pPr>
              <w:jc w:val="left"/>
            </w:pPr>
            <w:r>
              <w:rPr>
                <w:rFonts w:ascii="Calibri" w:hAnsi="Calibri"/>
                <w:b/>
                <w:i w:val="0"/>
                <w:sz w:val="18"/>
              </w:rPr>
              <w:t>Manufacturer / Series</w:t>
            </w:r>
          </w:p>
        </w:tc>
        <w:tc>
          <w:tcPr>
            <w:tcW w:type="dxa" w:w="4680"/>
            <w:shd w:val="clear" w:color="auto" w:fill="FFFFFF"/>
          </w:tcPr>
          <w:p>
            <w:pPr>
              <w:jc w:val="left"/>
            </w:pPr>
            <w:r>
              <w:rPr>
                <w:rFonts w:ascii="Calibri" w:hAnsi="Calibri"/>
                <w:b w:val="0"/>
                <w:i w:val="0"/>
                <w:sz w:val="18"/>
              </w:rPr>
              <w:t>Astral Pool — i-Megaline Inver Chill</w:t>
            </w:r>
          </w:p>
        </w:tc>
      </w:tr>
      <w:tr>
        <w:tc>
          <w:tcPr>
            <w:tcW w:type="dxa" w:w="4680"/>
            <w:shd w:val="clear" w:color="auto" w:fill="EFF9FC"/>
          </w:tcPr>
          <w:p>
            <w:pPr>
              <w:jc w:val="left"/>
            </w:pPr>
            <w:r>
              <w:rPr>
                <w:rFonts w:ascii="Calibri" w:hAnsi="Calibri"/>
                <w:b/>
                <w:i w:val="0"/>
                <w:sz w:val="18"/>
              </w:rPr>
              <w:t>Model</w:t>
            </w:r>
          </w:p>
        </w:tc>
        <w:tc>
          <w:tcPr>
            <w:tcW w:type="dxa" w:w="4680"/>
            <w:shd w:val="clear" w:color="auto" w:fill="EFF9FC"/>
          </w:tcPr>
          <w:p>
            <w:pPr>
              <w:jc w:val="left"/>
            </w:pPr>
            <w:r>
              <w:rPr>
                <w:rFonts w:ascii="Calibri" w:hAnsi="Calibri"/>
                <w:b w:val="0"/>
                <w:i w:val="0"/>
                <w:sz w:val="18"/>
              </w:rPr>
              <w:t>INVER-250</w:t>
            </w:r>
          </w:p>
        </w:tc>
      </w:tr>
      <w:tr>
        <w:tc>
          <w:tcPr>
            <w:tcW w:type="dxa" w:w="4680"/>
            <w:shd w:val="clear" w:color="auto" w:fill="CCF0FA"/>
          </w:tcPr>
          <w:p>
            <w:pPr>
              <w:jc w:val="left"/>
            </w:pPr>
            <w:r>
              <w:rPr>
                <w:rFonts w:ascii="Calibri" w:hAnsi="Calibri"/>
                <w:b/>
                <w:i w:val="0"/>
                <w:color w:val="0B3D91"/>
                <w:sz w:val="18"/>
              </w:rPr>
              <w:t>Quantity Selected</w:t>
            </w:r>
          </w:p>
        </w:tc>
        <w:tc>
          <w:tcPr>
            <w:tcW w:type="dxa" w:w="4680"/>
            <w:shd w:val="clear" w:color="auto" w:fill="CCF0FA"/>
          </w:tcPr>
          <w:p>
            <w:pPr>
              <w:jc w:val="left"/>
            </w:pPr>
            <w:r>
              <w:rPr>
                <w:rFonts w:ascii="Calibri" w:hAnsi="Calibri"/>
                <w:b/>
                <w:i w:val="0"/>
                <w:color w:val="0B3D91"/>
                <w:sz w:val="18"/>
              </w:rPr>
              <w:t>1  unit</w:t>
            </w:r>
          </w:p>
        </w:tc>
      </w:tr>
      <w:tr>
        <w:tc>
          <w:tcPr>
            <w:tcW w:type="dxa" w:w="4680"/>
            <w:shd w:val="clear" w:color="auto" w:fill="EFF9FC"/>
          </w:tcPr>
          <w:p>
            <w:pPr>
              <w:jc w:val="left"/>
            </w:pPr>
            <w:r>
              <w:rPr>
                <w:rFonts w:ascii="Calibri" w:hAnsi="Calibri"/>
                <w:b/>
                <w:i w:val="0"/>
                <w:sz w:val="18"/>
              </w:rPr>
              <w:t>Inverter / Fixed Speed</w:t>
            </w:r>
          </w:p>
        </w:tc>
        <w:tc>
          <w:tcPr>
            <w:tcW w:type="dxa" w:w="4680"/>
            <w:shd w:val="clear" w:color="auto" w:fill="EFF9FC"/>
          </w:tcPr>
          <w:p>
            <w:pPr>
              <w:jc w:val="left"/>
            </w:pPr>
            <w:r>
              <w:rPr>
                <w:rFonts w:ascii="Calibri" w:hAnsi="Calibri"/>
                <w:b w:val="0"/>
                <w:i w:val="0"/>
                <w:sz w:val="18"/>
              </w:rPr>
              <w:t>Inverter (variable speed)</w:t>
            </w:r>
          </w:p>
        </w:tc>
      </w:tr>
      <w:tr>
        <w:tc>
          <w:tcPr>
            <w:tcW w:type="dxa" w:w="4680"/>
            <w:shd w:val="clear" w:color="auto" w:fill="FFFFFF"/>
          </w:tcPr>
          <w:p>
            <w:pPr>
              <w:jc w:val="left"/>
            </w:pPr>
            <w:r>
              <w:rPr>
                <w:rFonts w:ascii="Calibri" w:hAnsi="Calibri"/>
                <w:b/>
                <w:i w:val="0"/>
                <w:sz w:val="18"/>
              </w:rPr>
              <w:t>Refrigerant</w:t>
            </w:r>
          </w:p>
        </w:tc>
        <w:tc>
          <w:tcPr>
            <w:tcW w:type="dxa" w:w="4680"/>
            <w:shd w:val="clear" w:color="auto" w:fill="FFFFFF"/>
          </w:tcPr>
          <w:p>
            <w:pPr>
              <w:jc w:val="left"/>
            </w:pPr>
            <w:r>
              <w:rPr>
                <w:rFonts w:ascii="Calibri" w:hAnsi="Calibri"/>
                <w:b w:val="0"/>
                <w:i w:val="0"/>
                <w:sz w:val="18"/>
              </w:rPr>
              <w:t>R410A</w:t>
            </w:r>
          </w:p>
        </w:tc>
      </w:tr>
      <w:tr>
        <w:tc>
          <w:tcPr>
            <w:tcW w:type="dxa" w:w="4680"/>
            <w:shd w:val="clear" w:color="auto" w:fill="EFF9FC"/>
          </w:tcPr>
          <w:p>
            <w:pPr>
              <w:jc w:val="left"/>
            </w:pPr>
            <w:r>
              <w:rPr>
                <w:rFonts w:ascii="Calibri" w:hAnsi="Calibri"/>
                <w:b/>
                <w:i w:val="0"/>
                <w:sz w:val="18"/>
              </w:rPr>
              <w:t>Compressor Type</w:t>
            </w:r>
          </w:p>
        </w:tc>
        <w:tc>
          <w:tcPr>
            <w:tcW w:type="dxa" w:w="4680"/>
            <w:shd w:val="clear" w:color="auto" w:fill="EFF9FC"/>
          </w:tcPr>
          <w:p>
            <w:pPr>
              <w:jc w:val="left"/>
            </w:pPr>
            <w:r>
              <w:rPr>
                <w:rFonts w:ascii="Calibri" w:hAnsi="Calibri"/>
                <w:b w:val="0"/>
                <w:i w:val="0"/>
                <w:sz w:val="18"/>
              </w:rPr>
              <w:t>Scroll</w:t>
            </w:r>
          </w:p>
        </w:tc>
      </w:tr>
      <w:tr>
        <w:tc>
          <w:tcPr>
            <w:tcW w:type="dxa" w:w="4680"/>
            <w:shd w:val="clear" w:color="auto" w:fill="FFFFFF"/>
          </w:tcPr>
          <w:p>
            <w:pPr>
              <w:jc w:val="left"/>
            </w:pPr>
            <w:r>
              <w:rPr>
                <w:rFonts w:ascii="Calibri" w:hAnsi="Calibri"/>
                <w:b/>
                <w:i w:val="0"/>
                <w:sz w:val="18"/>
              </w:rPr>
              <w:t>Operating Ambient Range</w:t>
            </w:r>
          </w:p>
        </w:tc>
        <w:tc>
          <w:tcPr>
            <w:tcW w:type="dxa" w:w="4680"/>
            <w:shd w:val="clear" w:color="auto" w:fill="FFFFFF"/>
          </w:tcPr>
          <w:p>
            <w:pPr>
              <w:jc w:val="left"/>
            </w:pPr>
            <w:r>
              <w:rPr>
                <w:rFonts w:ascii="Calibri" w:hAnsi="Calibri"/>
                <w:b w:val="0"/>
                <w:i w:val="0"/>
                <w:sz w:val="18"/>
              </w:rPr>
              <w:t>2.0 °C  to  53.0 °C</w:t>
            </w:r>
          </w:p>
        </w:tc>
      </w:tr>
      <w:tr>
        <w:tc>
          <w:tcPr>
            <w:tcW w:type="dxa" w:w="4680"/>
            <w:shd w:val="clear" w:color="auto" w:fill="0D4F6B"/>
          </w:tcPr>
          <w:p>
            <w:pPr>
              <w:jc w:val="left"/>
            </w:pPr>
            <w:r>
              <w:rPr>
                <w:rFonts w:ascii="Calibri" w:hAnsi="Calibri"/>
                <w:b/>
                <w:i w:val="0"/>
                <w:color w:val="FFFFFF"/>
                <w:sz w:val="18"/>
              </w:rPr>
              <w:t>HEATING PERFORMANCE  (rated at A27°C / W26°C)</w:t>
            </w:r>
          </w:p>
        </w:tc>
        <w:tc>
          <w:tcPr>
            <w:tcW w:type="dxa" w:w="4680"/>
            <w:shd w:val="clear" w:color="auto" w:fill="0D4F6B"/>
          </w:tcPr>
          <w:p>
            <w:pPr>
              <w:jc w:val="left"/>
            </w:pPr>
            <w:r>
              <w:rPr>
                <w:rFonts w:ascii="Calibri" w:hAnsi="Calibri"/>
                <w:b w:val="0"/>
                <w:i w:val="0"/>
                <w:color w:val="FFFFFF"/>
                <w:sz w:val="18"/>
              </w:rPr>
            </w:r>
          </w:p>
        </w:tc>
      </w:tr>
      <w:tr>
        <w:tc>
          <w:tcPr>
            <w:tcW w:type="dxa" w:w="4680"/>
            <w:shd w:val="clear" w:color="auto" w:fill="FFFFFF"/>
          </w:tcPr>
          <w:p>
            <w:pPr>
              <w:jc w:val="left"/>
            </w:pPr>
            <w:r>
              <w:rPr>
                <w:rFonts w:ascii="Calibri" w:hAnsi="Calibri"/>
                <w:b/>
                <w:i w:val="0"/>
                <w:sz w:val="18"/>
              </w:rPr>
              <w:t>Rated Heating Capacity  (max, per unit)</w:t>
            </w:r>
          </w:p>
        </w:tc>
        <w:tc>
          <w:tcPr>
            <w:tcW w:type="dxa" w:w="4680"/>
            <w:shd w:val="clear" w:color="auto" w:fill="FFFFFF"/>
          </w:tcPr>
          <w:p>
            <w:pPr>
              <w:jc w:val="left"/>
            </w:pPr>
            <w:r>
              <w:rPr>
                <w:rFonts w:ascii="Calibri" w:hAnsi="Calibri"/>
                <w:b w:val="0"/>
                <w:i w:val="0"/>
                <w:sz w:val="18"/>
              </w:rPr>
              <w:t>250.00 kW</w:t>
            </w:r>
          </w:p>
        </w:tc>
      </w:tr>
      <w:tr>
        <w:tc>
          <w:tcPr>
            <w:tcW w:type="dxa" w:w="4680"/>
            <w:shd w:val="clear" w:color="auto" w:fill="EFF9FC"/>
          </w:tcPr>
          <w:p>
            <w:pPr>
              <w:jc w:val="left"/>
            </w:pPr>
            <w:r>
              <w:rPr>
                <w:rFonts w:ascii="Calibri" w:hAnsi="Calibri"/>
                <w:b/>
                <w:i w:val="0"/>
                <w:sz w:val="18"/>
              </w:rPr>
              <w:t>Heating Capacity Range  (per unit)</w:t>
            </w:r>
          </w:p>
        </w:tc>
        <w:tc>
          <w:tcPr>
            <w:tcW w:type="dxa" w:w="4680"/>
            <w:shd w:val="clear" w:color="auto" w:fill="EFF9FC"/>
          </w:tcPr>
          <w:p>
            <w:pPr>
              <w:jc w:val="left"/>
            </w:pPr>
            <w:r>
              <w:rPr>
                <w:rFonts w:ascii="Calibri" w:hAnsi="Calibri"/>
                <w:b w:val="0"/>
                <w:i w:val="0"/>
                <w:sz w:val="18"/>
              </w:rPr>
              <w:t>65.00 kW – 250.00 kW  (inverter range)</w:t>
            </w:r>
          </w:p>
        </w:tc>
      </w:tr>
      <w:tr>
        <w:tc>
          <w:tcPr>
            <w:tcW w:type="dxa" w:w="4680"/>
            <w:shd w:val="clear" w:color="auto" w:fill="FFFFFF"/>
          </w:tcPr>
          <w:p>
            <w:pPr>
              <w:jc w:val="left"/>
            </w:pPr>
            <w:r>
              <w:rPr>
                <w:rFonts w:ascii="Calibri" w:hAnsi="Calibri"/>
                <w:b/>
                <w:i w:val="0"/>
                <w:sz w:val="18"/>
              </w:rPr>
              <w:t>COP at A27°C  (rated, full load)</w:t>
            </w:r>
          </w:p>
        </w:tc>
        <w:tc>
          <w:tcPr>
            <w:tcW w:type="dxa" w:w="4680"/>
            <w:shd w:val="clear" w:color="auto" w:fill="FFFFFF"/>
          </w:tcPr>
          <w:p>
            <w:pPr>
              <w:jc w:val="left"/>
            </w:pPr>
            <w:r>
              <w:rPr>
                <w:rFonts w:ascii="Calibri" w:hAnsi="Calibri"/>
                <w:b w:val="0"/>
                <w:i w:val="0"/>
                <w:sz w:val="18"/>
              </w:rPr>
              <w:t>10.37</w:t>
            </w:r>
          </w:p>
        </w:tc>
      </w:tr>
      <w:tr>
        <w:tc>
          <w:tcPr>
            <w:tcW w:type="dxa" w:w="4680"/>
            <w:shd w:val="clear" w:color="auto" w:fill="EFF9FC"/>
          </w:tcPr>
          <w:p>
            <w:pPr>
              <w:jc w:val="left"/>
            </w:pPr>
            <w:r>
              <w:rPr>
                <w:rFonts w:ascii="Calibri" w:hAnsi="Calibri"/>
                <w:b/>
                <w:i w:val="0"/>
                <w:sz w:val="18"/>
              </w:rPr>
              <w:t>COP at A15°C  (low-ambient, measured)</w:t>
            </w:r>
          </w:p>
        </w:tc>
        <w:tc>
          <w:tcPr>
            <w:tcW w:type="dxa" w:w="4680"/>
            <w:shd w:val="clear" w:color="auto" w:fill="EFF9FC"/>
          </w:tcPr>
          <w:p>
            <w:pPr>
              <w:jc w:val="left"/>
            </w:pPr>
            <w:r>
              <w:rPr>
                <w:rFonts w:ascii="Calibri" w:hAnsi="Calibri"/>
                <w:b w:val="0"/>
                <w:i w:val="0"/>
                <w:sz w:val="18"/>
              </w:rPr>
              <w:t>7.78</w:t>
            </w:r>
          </w:p>
        </w:tc>
      </w:tr>
      <w:tr>
        <w:tc>
          <w:tcPr>
            <w:tcW w:type="dxa" w:w="4680"/>
            <w:shd w:val="clear" w:color="auto" w:fill="FFFFFF"/>
          </w:tcPr>
          <w:p>
            <w:pPr>
              <w:jc w:val="left"/>
            </w:pPr>
            <w:r>
              <w:rPr>
                <w:rFonts w:ascii="Calibri" w:hAnsi="Calibri"/>
                <w:b/>
                <w:i w:val="0"/>
                <w:sz w:val="18"/>
              </w:rPr>
              <w:t>Heating Capacity at A15°C  (fleet counted on this — ruling 19a-1)</w:t>
            </w:r>
          </w:p>
        </w:tc>
        <w:tc>
          <w:tcPr>
            <w:tcW w:type="dxa" w:w="4680"/>
            <w:shd w:val="clear" w:color="auto" w:fill="FFFFFF"/>
          </w:tcPr>
          <w:p>
            <w:pPr>
              <w:jc w:val="left"/>
            </w:pPr>
            <w:r>
              <w:rPr>
                <w:rFonts w:ascii="Calibri" w:hAnsi="Calibri"/>
                <w:b w:val="0"/>
                <w:i w:val="0"/>
                <w:sz w:val="18"/>
              </w:rPr>
              <w:t>190.00 kW  per unit  (datasheet A15)</w:t>
            </w:r>
          </w:p>
        </w:tc>
      </w:tr>
      <w:tr>
        <w:tc>
          <w:tcPr>
            <w:tcW w:type="dxa" w:w="4680"/>
            <w:shd w:val="clear" w:color="auto" w:fill="EFF9FC"/>
          </w:tcPr>
          <w:p>
            <w:pPr>
              <w:jc w:val="left"/>
            </w:pPr>
            <w:r>
              <w:rPr>
                <w:rFonts w:ascii="Calibri" w:hAnsi="Calibri"/>
                <w:b/>
                <w:i w:val="0"/>
                <w:sz w:val="18"/>
              </w:rPr>
              <w:t>Electrical Input — Heating  (rated, per unit)</w:t>
            </w:r>
          </w:p>
        </w:tc>
        <w:tc>
          <w:tcPr>
            <w:tcW w:type="dxa" w:w="4680"/>
            <w:shd w:val="clear" w:color="auto" w:fill="EFF9FC"/>
          </w:tcPr>
          <w:p>
            <w:pPr>
              <w:jc w:val="left"/>
            </w:pPr>
            <w:r>
              <w:rPr>
                <w:rFonts w:ascii="Calibri" w:hAnsi="Calibri"/>
                <w:b w:val="0"/>
                <w:i w:val="0"/>
                <w:sz w:val="18"/>
              </w:rPr>
              <w:t>24.11 kW</w:t>
            </w:r>
          </w:p>
        </w:tc>
      </w:tr>
      <w:tr>
        <w:tc>
          <w:tcPr>
            <w:tcW w:type="dxa" w:w="4680"/>
            <w:shd w:val="clear" w:color="auto" w:fill="0D4F6B"/>
          </w:tcPr>
          <w:p>
            <w:pPr>
              <w:jc w:val="left"/>
            </w:pPr>
            <w:r>
              <w:rPr>
                <w:rFonts w:ascii="Calibri" w:hAnsi="Calibri"/>
                <w:b/>
                <w:i w:val="0"/>
                <w:color w:val="FFFFFF"/>
                <w:sz w:val="18"/>
              </w:rPr>
              <w:t>COOLING PERFORMANCE  (rated at A43°C / W32°C)</w:t>
            </w:r>
          </w:p>
        </w:tc>
        <w:tc>
          <w:tcPr>
            <w:tcW w:type="dxa" w:w="4680"/>
            <w:shd w:val="clear" w:color="auto" w:fill="0D4F6B"/>
          </w:tcPr>
          <w:p>
            <w:pPr>
              <w:jc w:val="left"/>
            </w:pPr>
            <w:r>
              <w:rPr>
                <w:rFonts w:ascii="Calibri" w:hAnsi="Calibri"/>
                <w:b w:val="0"/>
                <w:i w:val="0"/>
                <w:color w:val="FFFFFF"/>
                <w:sz w:val="18"/>
              </w:rPr>
            </w:r>
          </w:p>
        </w:tc>
      </w:tr>
      <w:tr>
        <w:tc>
          <w:tcPr>
            <w:tcW w:type="dxa" w:w="4680"/>
            <w:shd w:val="clear" w:color="auto" w:fill="EFF9FC"/>
          </w:tcPr>
          <w:p>
            <w:pPr>
              <w:jc w:val="left"/>
            </w:pPr>
            <w:r>
              <w:rPr>
                <w:rFonts w:ascii="Calibri" w:hAnsi="Calibri"/>
                <w:b/>
                <w:i w:val="0"/>
                <w:sz w:val="18"/>
              </w:rPr>
              <w:t>Rated Cooling Capacity  (max, per unit)</w:t>
            </w:r>
          </w:p>
        </w:tc>
        <w:tc>
          <w:tcPr>
            <w:tcW w:type="dxa" w:w="4680"/>
            <w:shd w:val="clear" w:color="auto" w:fill="EFF9FC"/>
          </w:tcPr>
          <w:p>
            <w:pPr>
              <w:jc w:val="left"/>
            </w:pPr>
            <w:r>
              <w:rPr>
                <w:rFonts w:ascii="Calibri" w:hAnsi="Calibri"/>
                <w:b w:val="0"/>
                <w:i w:val="0"/>
                <w:sz w:val="18"/>
              </w:rPr>
              <w:t>120.00 kW</w:t>
            </w:r>
          </w:p>
        </w:tc>
      </w:tr>
      <w:tr>
        <w:tc>
          <w:tcPr>
            <w:tcW w:type="dxa" w:w="4680"/>
            <w:shd w:val="clear" w:color="auto" w:fill="FFFFFF"/>
          </w:tcPr>
          <w:p>
            <w:pPr>
              <w:jc w:val="left"/>
            </w:pPr>
            <w:r>
              <w:rPr>
                <w:rFonts w:ascii="Calibri" w:hAnsi="Calibri"/>
                <w:b/>
                <w:i w:val="0"/>
                <w:sz w:val="18"/>
              </w:rPr>
              <w:t>Cooling Capacity Range  (per unit)</w:t>
            </w:r>
          </w:p>
        </w:tc>
        <w:tc>
          <w:tcPr>
            <w:tcW w:type="dxa" w:w="4680"/>
            <w:shd w:val="clear" w:color="auto" w:fill="FFFFFF"/>
          </w:tcPr>
          <w:p>
            <w:pPr>
              <w:jc w:val="left"/>
            </w:pPr>
            <w:r>
              <w:rPr>
                <w:rFonts w:ascii="Calibri" w:hAnsi="Calibri"/>
                <w:b w:val="0"/>
                <w:i w:val="0"/>
                <w:sz w:val="18"/>
              </w:rPr>
              <w:t>38.00 kW – 120.00 kW  (inverter range)</w:t>
            </w:r>
          </w:p>
        </w:tc>
      </w:tr>
      <w:tr>
        <w:tc>
          <w:tcPr>
            <w:tcW w:type="dxa" w:w="4680"/>
            <w:shd w:val="clear" w:color="auto" w:fill="EFF9FC"/>
          </w:tcPr>
          <w:p>
            <w:pPr>
              <w:jc w:val="left"/>
            </w:pPr>
            <w:r>
              <w:rPr>
                <w:rFonts w:ascii="Calibri" w:hAnsi="Calibri"/>
                <w:b/>
                <w:i w:val="0"/>
                <w:sz w:val="18"/>
              </w:rPr>
              <w:t>EER at A43°C  (rated, full load)</w:t>
            </w:r>
          </w:p>
        </w:tc>
        <w:tc>
          <w:tcPr>
            <w:tcW w:type="dxa" w:w="4680"/>
            <w:shd w:val="clear" w:color="auto" w:fill="EFF9FC"/>
          </w:tcPr>
          <w:p>
            <w:pPr>
              <w:jc w:val="left"/>
            </w:pPr>
            <w:r>
              <w:rPr>
                <w:rFonts w:ascii="Calibri" w:hAnsi="Calibri"/>
                <w:b w:val="0"/>
                <w:i w:val="0"/>
                <w:sz w:val="18"/>
              </w:rPr>
              <w:t>5.48</w:t>
            </w:r>
          </w:p>
        </w:tc>
      </w:tr>
      <w:tr>
        <w:tc>
          <w:tcPr>
            <w:tcW w:type="dxa" w:w="4680"/>
            <w:shd w:val="clear" w:color="auto" w:fill="FFFFFF"/>
          </w:tcPr>
          <w:p>
            <w:pPr>
              <w:jc w:val="left"/>
            </w:pPr>
            <w:r>
              <w:rPr>
                <w:rFonts w:ascii="Calibri" w:hAnsi="Calibri"/>
                <w:b/>
                <w:i w:val="0"/>
                <w:sz w:val="18"/>
              </w:rPr>
              <w:t>Electrical Input — Cooling  (rated, per unit)</w:t>
            </w:r>
          </w:p>
        </w:tc>
        <w:tc>
          <w:tcPr>
            <w:tcW w:type="dxa" w:w="4680"/>
            <w:shd w:val="clear" w:color="auto" w:fill="FFFFFF"/>
          </w:tcPr>
          <w:p>
            <w:pPr>
              <w:jc w:val="left"/>
            </w:pPr>
            <w:r>
              <w:rPr>
                <w:rFonts w:ascii="Calibri" w:hAnsi="Calibri"/>
                <w:b w:val="0"/>
                <w:i w:val="0"/>
                <w:sz w:val="18"/>
              </w:rPr>
              <w:t>21.90 kW</w:t>
            </w:r>
          </w:p>
        </w:tc>
      </w:tr>
      <w:tr>
        <w:tc>
          <w:tcPr>
            <w:tcW w:type="dxa" w:w="4680"/>
            <w:shd w:val="clear" w:color="auto" w:fill="0D4F6B"/>
          </w:tcPr>
          <w:p>
            <w:pPr>
              <w:jc w:val="left"/>
            </w:pPr>
            <w:r>
              <w:rPr>
                <w:rFonts w:ascii="Calibri" w:hAnsi="Calibri"/>
                <w:b/>
                <w:i w:val="0"/>
                <w:color w:val="FFFFFF"/>
                <w:sz w:val="18"/>
              </w:rPr>
              <w:t>ELECTRICAL DATA</w:t>
            </w:r>
          </w:p>
        </w:tc>
        <w:tc>
          <w:tcPr>
            <w:tcW w:type="dxa" w:w="4680"/>
            <w:shd w:val="clear" w:color="auto" w:fill="0D4F6B"/>
          </w:tcPr>
          <w:p>
            <w:pPr>
              <w:jc w:val="left"/>
            </w:pPr>
            <w:r>
              <w:rPr>
                <w:rFonts w:ascii="Calibri" w:hAnsi="Calibri"/>
                <w:b w:val="0"/>
                <w:i w:val="0"/>
                <w:color w:val="FFFFFF"/>
                <w:sz w:val="18"/>
              </w:rPr>
            </w:r>
          </w:p>
        </w:tc>
      </w:tr>
      <w:tr>
        <w:tc>
          <w:tcPr>
            <w:tcW w:type="dxa" w:w="4680"/>
            <w:shd w:val="clear" w:color="auto" w:fill="FFFFFF"/>
          </w:tcPr>
          <w:p>
            <w:pPr>
              <w:jc w:val="left"/>
            </w:pPr>
            <w:r>
              <w:rPr>
                <w:rFonts w:ascii="Calibri" w:hAnsi="Calibri"/>
                <w:b/>
                <w:i w:val="0"/>
                <w:sz w:val="18"/>
              </w:rPr>
              <w:t>Rated Electrical Input  (per unit)</w:t>
            </w:r>
          </w:p>
        </w:tc>
        <w:tc>
          <w:tcPr>
            <w:tcW w:type="dxa" w:w="4680"/>
            <w:shd w:val="clear" w:color="auto" w:fill="FFFFFF"/>
          </w:tcPr>
          <w:p>
            <w:pPr>
              <w:jc w:val="left"/>
            </w:pPr>
            <w:r>
              <w:rPr>
                <w:rFonts w:ascii="Calibri" w:hAnsi="Calibri"/>
                <w:b w:val="0"/>
                <w:i w:val="0"/>
                <w:sz w:val="18"/>
              </w:rPr>
              <w:t>—</w:t>
            </w:r>
          </w:p>
        </w:tc>
      </w:tr>
      <w:tr>
        <w:tc>
          <w:tcPr>
            <w:tcW w:type="dxa" w:w="4680"/>
            <w:shd w:val="clear" w:color="auto" w:fill="EFF9FC"/>
          </w:tcPr>
          <w:p>
            <w:pPr>
              <w:jc w:val="left"/>
            </w:pPr>
            <w:r>
              <w:rPr>
                <w:rFonts w:ascii="Calibri" w:hAnsi="Calibri"/>
                <w:b/>
                <w:i w:val="0"/>
                <w:sz w:val="18"/>
              </w:rPr>
              <w:t>Maximum Electrical Input  (per unit)</w:t>
            </w:r>
          </w:p>
        </w:tc>
        <w:tc>
          <w:tcPr>
            <w:tcW w:type="dxa" w:w="4680"/>
            <w:shd w:val="clear" w:color="auto" w:fill="EFF9FC"/>
          </w:tcPr>
          <w:p>
            <w:pPr>
              <w:jc w:val="left"/>
            </w:pPr>
            <w:r>
              <w:rPr>
                <w:rFonts w:ascii="Calibri" w:hAnsi="Calibri"/>
                <w:b w:val="0"/>
                <w:i w:val="0"/>
                <w:sz w:val="18"/>
              </w:rPr>
              <w:t>24.70 kW</w:t>
            </w:r>
          </w:p>
        </w:tc>
      </w:tr>
      <w:tr>
        <w:tc>
          <w:tcPr>
            <w:tcW w:type="dxa" w:w="4680"/>
            <w:shd w:val="clear" w:color="auto" w:fill="CCF0FA"/>
          </w:tcPr>
          <w:p>
            <w:pPr>
              <w:jc w:val="left"/>
            </w:pPr>
            <w:r>
              <w:rPr>
                <w:rFonts w:ascii="Calibri" w:hAnsi="Calibri"/>
                <w:b/>
                <w:i w:val="0"/>
                <w:color w:val="0B3D91"/>
                <w:sz w:val="18"/>
              </w:rPr>
              <w:t>Total Fleet Max. Electrical Input</w:t>
            </w:r>
          </w:p>
        </w:tc>
        <w:tc>
          <w:tcPr>
            <w:tcW w:type="dxa" w:w="4680"/>
            <w:shd w:val="clear" w:color="auto" w:fill="CCF0FA"/>
          </w:tcPr>
          <w:p>
            <w:pPr>
              <w:jc w:val="left"/>
            </w:pPr>
            <w:r>
              <w:rPr>
                <w:rFonts w:ascii="Calibri" w:hAnsi="Calibri"/>
                <w:b/>
                <w:i w:val="0"/>
                <w:color w:val="0B3D91"/>
                <w:sz w:val="18"/>
              </w:rPr>
              <w:t>24.70 kW  (1 × 24.70 kW)</w:t>
            </w:r>
          </w:p>
        </w:tc>
      </w:tr>
      <w:tr>
        <w:tc>
          <w:tcPr>
            <w:tcW w:type="dxa" w:w="4680"/>
            <w:shd w:val="clear" w:color="auto" w:fill="0D4F6B"/>
          </w:tcPr>
          <w:p>
            <w:pPr>
              <w:jc w:val="left"/>
            </w:pPr>
            <w:r>
              <w:rPr>
                <w:rFonts w:ascii="Calibri" w:hAnsi="Calibri"/>
                <w:b/>
                <w:i w:val="0"/>
                <w:color w:val="FFFFFF"/>
                <w:sz w:val="18"/>
              </w:rPr>
              <w:t>PHYSICAL DATA</w:t>
            </w:r>
          </w:p>
        </w:tc>
        <w:tc>
          <w:tcPr>
            <w:tcW w:type="dxa" w:w="4680"/>
            <w:shd w:val="clear" w:color="auto" w:fill="0D4F6B"/>
          </w:tcPr>
          <w:p>
            <w:pPr>
              <w:jc w:val="left"/>
            </w:pPr>
            <w:r>
              <w:rPr>
                <w:rFonts w:ascii="Calibri" w:hAnsi="Calibri"/>
                <w:b w:val="0"/>
                <w:i w:val="0"/>
                <w:color w:val="FFFFFF"/>
                <w:sz w:val="18"/>
              </w:rPr>
            </w:r>
          </w:p>
        </w:tc>
      </w:tr>
      <w:tr>
        <w:tc>
          <w:tcPr>
            <w:tcW w:type="dxa" w:w="4680"/>
            <w:shd w:val="clear" w:color="auto" w:fill="FFFFFF"/>
          </w:tcPr>
          <w:p>
            <w:pPr>
              <w:jc w:val="left"/>
            </w:pPr>
            <w:r>
              <w:rPr>
                <w:rFonts w:ascii="Calibri" w:hAnsi="Calibri"/>
                <w:b/>
                <w:i w:val="0"/>
                <w:sz w:val="18"/>
              </w:rPr>
              <w:t>Net Dimensions  (L × W × H)</w:t>
            </w:r>
          </w:p>
        </w:tc>
        <w:tc>
          <w:tcPr>
            <w:tcW w:type="dxa" w:w="4680"/>
            <w:shd w:val="clear" w:color="auto" w:fill="FFFFFF"/>
          </w:tcPr>
          <w:p>
            <w:pPr>
              <w:jc w:val="left"/>
            </w:pPr>
            <w:r>
              <w:rPr>
                <w:rFonts w:ascii="Calibri" w:hAnsi="Calibri"/>
                <w:b w:val="0"/>
                <w:i w:val="0"/>
                <w:sz w:val="18"/>
              </w:rPr>
              <w:t>2260×1150×2130 mm</w:t>
            </w:r>
          </w:p>
        </w:tc>
      </w:tr>
      <w:tr>
        <w:tc>
          <w:tcPr>
            <w:tcW w:type="dxa" w:w="4680"/>
            <w:shd w:val="clear" w:color="auto" w:fill="EFF9FC"/>
          </w:tcPr>
          <w:p>
            <w:pPr>
              <w:jc w:val="left"/>
            </w:pPr>
            <w:r>
              <w:rPr>
                <w:rFonts w:ascii="Calibri" w:hAnsi="Calibri"/>
                <w:b/>
                <w:i w:val="0"/>
                <w:sz w:val="18"/>
              </w:rPr>
              <w:t>Net Weight  (per unit)</w:t>
            </w:r>
          </w:p>
        </w:tc>
        <w:tc>
          <w:tcPr>
            <w:tcW w:type="dxa" w:w="4680"/>
            <w:shd w:val="clear" w:color="auto" w:fill="EFF9FC"/>
          </w:tcPr>
          <w:p>
            <w:pPr>
              <w:jc w:val="left"/>
            </w:pPr>
            <w:r>
              <w:rPr>
                <w:rFonts w:ascii="Calibri" w:hAnsi="Calibri"/>
                <w:b w:val="0"/>
                <w:i w:val="0"/>
                <w:sz w:val="18"/>
              </w:rPr>
              <w:t>—</w:t>
            </w:r>
          </w:p>
        </w:tc>
      </w:tr>
      <w:tr>
        <w:tc>
          <w:tcPr>
            <w:tcW w:type="dxa" w:w="4680"/>
            <w:shd w:val="clear" w:color="auto" w:fill="CCF0FA"/>
          </w:tcPr>
          <w:p>
            <w:pPr>
              <w:jc w:val="left"/>
            </w:pPr>
            <w:r>
              <w:rPr>
                <w:rFonts w:ascii="Calibri" w:hAnsi="Calibri"/>
                <w:b/>
                <w:i w:val="0"/>
                <w:color w:val="0B3D91"/>
                <w:sz w:val="18"/>
              </w:rPr>
              <w:t>Total Fleet Weight</w:t>
            </w:r>
          </w:p>
        </w:tc>
        <w:tc>
          <w:tcPr>
            <w:tcW w:type="dxa" w:w="4680"/>
            <w:shd w:val="clear" w:color="auto" w:fill="CCF0FA"/>
          </w:tcPr>
          <w:p>
            <w:pPr>
              <w:jc w:val="left"/>
            </w:pPr>
            <w:r>
              <w:rPr>
                <w:rFonts w:ascii="Calibri" w:hAnsi="Calibri"/>
                <w:b/>
                <w:i w:val="0"/>
                <w:color w:val="0B3D91"/>
                <w:sz w:val="18"/>
              </w:rPr>
              <w:t>—</w:t>
            </w:r>
          </w:p>
        </w:tc>
      </w:tr>
      <w:tr>
        <w:tc>
          <w:tcPr>
            <w:tcW w:type="dxa" w:w="4680"/>
            <w:shd w:val="clear" w:color="auto" w:fill="0D4F6B"/>
          </w:tcPr>
          <w:p>
            <w:pPr>
              <w:jc w:val="left"/>
            </w:pPr>
            <w:r>
              <w:rPr>
                <w:rFonts w:ascii="Calibri" w:hAnsi="Calibri"/>
                <w:b/>
                <w:i w:val="0"/>
                <w:color w:val="FFFFFF"/>
                <w:sz w:val="18"/>
              </w:rPr>
              <w:t>SELECTION RESULT</w:t>
            </w:r>
          </w:p>
        </w:tc>
        <w:tc>
          <w:tcPr>
            <w:tcW w:type="dxa" w:w="4680"/>
            <w:shd w:val="clear" w:color="auto" w:fill="0D4F6B"/>
          </w:tcPr>
          <w:p>
            <w:pPr>
              <w:jc w:val="left"/>
            </w:pPr>
            <w:r>
              <w:rPr>
                <w:rFonts w:ascii="Calibri" w:hAnsi="Calibri"/>
                <w:b w:val="0"/>
                <w:i w:val="0"/>
                <w:color w:val="FFFFFF"/>
                <w:sz w:val="18"/>
              </w:rPr>
            </w:r>
          </w:p>
        </w:tc>
      </w:tr>
      <w:tr>
        <w:tc>
          <w:tcPr>
            <w:tcW w:type="dxa" w:w="4680"/>
            <w:shd w:val="clear" w:color="auto" w:fill="FFFFFF"/>
          </w:tcPr>
          <w:p>
            <w:pPr>
              <w:jc w:val="left"/>
            </w:pPr>
            <w:r>
              <w:rPr>
                <w:rFonts w:ascii="Calibri" w:hAnsi="Calibri"/>
                <w:b/>
                <w:i w:val="0"/>
                <w:sz w:val="18"/>
              </w:rPr>
              <w:t>Required Heating Capacity</w:t>
            </w:r>
          </w:p>
        </w:tc>
        <w:tc>
          <w:tcPr>
            <w:tcW w:type="dxa" w:w="4680"/>
            <w:shd w:val="clear" w:color="auto" w:fill="FFFFFF"/>
          </w:tcPr>
          <w:p>
            <w:pPr>
              <w:jc w:val="left"/>
            </w:pPr>
            <w:r>
              <w:rPr>
                <w:rFonts w:ascii="Calibri" w:hAnsi="Calibri"/>
                <w:b w:val="0"/>
                <w:i w:val="0"/>
                <w:sz w:val="18"/>
              </w:rPr>
              <w:t>173.7 kW</w:t>
            </w:r>
          </w:p>
        </w:tc>
      </w:tr>
      <w:tr>
        <w:tc>
          <w:tcPr>
            <w:tcW w:type="dxa" w:w="4680"/>
            <w:shd w:val="clear" w:color="auto" w:fill="EFF9FC"/>
          </w:tcPr>
          <w:p>
            <w:pPr>
              <w:jc w:val="left"/>
            </w:pPr>
            <w:r>
              <w:rPr>
                <w:rFonts w:ascii="Calibri" w:hAnsi="Calibri"/>
                <w:b/>
                <w:i w:val="0"/>
                <w:sz w:val="18"/>
              </w:rPr>
              <w:t>Required Cooling Capacity</w:t>
            </w:r>
          </w:p>
        </w:tc>
        <w:tc>
          <w:tcPr>
            <w:tcW w:type="dxa" w:w="4680"/>
            <w:shd w:val="clear" w:color="auto" w:fill="EFF9FC"/>
          </w:tcPr>
          <w:p>
            <w:pPr>
              <w:jc w:val="left"/>
            </w:pPr>
            <w:r>
              <w:rPr>
                <w:rFonts w:ascii="Calibri" w:hAnsi="Calibri"/>
                <w:b w:val="0"/>
                <w:i w:val="0"/>
                <w:sz w:val="18"/>
              </w:rPr>
              <w:t>25.4 kW</w:t>
            </w:r>
          </w:p>
        </w:tc>
      </w:tr>
      <w:tr>
        <w:tc>
          <w:tcPr>
            <w:tcW w:type="dxa" w:w="4680"/>
            <w:shd w:val="clear" w:color="auto" w:fill="CCF0FA"/>
          </w:tcPr>
          <w:p>
            <w:pPr>
              <w:jc w:val="left"/>
            </w:pPr>
            <w:r>
              <w:rPr>
                <w:rFonts w:ascii="Calibri" w:hAnsi="Calibri"/>
                <w:b/>
                <w:i w:val="0"/>
                <w:color w:val="0B3D91"/>
                <w:sz w:val="18"/>
              </w:rPr>
              <w:t>Installed Heating Capacity at the design ambient (A15 basis)</w:t>
            </w:r>
          </w:p>
        </w:tc>
        <w:tc>
          <w:tcPr>
            <w:tcW w:type="dxa" w:w="4680"/>
            <w:shd w:val="clear" w:color="auto" w:fill="CCF0FA"/>
          </w:tcPr>
          <w:p>
            <w:pPr>
              <w:jc w:val="left"/>
            </w:pPr>
            <w:r>
              <w:rPr>
                <w:rFonts w:ascii="Calibri" w:hAnsi="Calibri"/>
                <w:b/>
                <w:i w:val="0"/>
                <w:color w:val="0B3D91"/>
                <w:sz w:val="18"/>
              </w:rPr>
              <w:t>190.00 kW  (+9.4% above requirement; datasheet A15)</w:t>
            </w:r>
          </w:p>
        </w:tc>
      </w:tr>
      <w:tr>
        <w:tc>
          <w:tcPr>
            <w:tcW w:type="dxa" w:w="4680"/>
            <w:shd w:val="clear" w:color="auto" w:fill="EFF9FC"/>
          </w:tcPr>
          <w:p>
            <w:pPr>
              <w:jc w:val="left"/>
            </w:pPr>
            <w:r>
              <w:rPr>
                <w:rFonts w:ascii="Calibri" w:hAnsi="Calibri"/>
                <w:b/>
                <w:i w:val="0"/>
                <w:sz w:val="18"/>
              </w:rPr>
              <w:t>Installed Heating Capacity at rated conditions (nameplate)</w:t>
            </w:r>
          </w:p>
        </w:tc>
        <w:tc>
          <w:tcPr>
            <w:tcW w:type="dxa" w:w="4680"/>
            <w:shd w:val="clear" w:color="auto" w:fill="EFF9FC"/>
          </w:tcPr>
          <w:p>
            <w:pPr>
              <w:jc w:val="left"/>
            </w:pPr>
            <w:r>
              <w:rPr>
                <w:rFonts w:ascii="Calibri" w:hAnsi="Calibri"/>
                <w:b w:val="0"/>
                <w:i w:val="0"/>
                <w:sz w:val="18"/>
              </w:rPr>
              <w:t>250.00 kW  (1 × 250.00 kW)</w:t>
            </w:r>
          </w:p>
        </w:tc>
      </w:tr>
      <w:tr>
        <w:tc>
          <w:tcPr>
            <w:tcW w:type="dxa" w:w="4680"/>
            <w:shd w:val="clear" w:color="auto" w:fill="CCF0FA"/>
          </w:tcPr>
          <w:p>
            <w:pPr>
              <w:jc w:val="left"/>
            </w:pPr>
            <w:r>
              <w:rPr>
                <w:rFonts w:ascii="Calibri" w:hAnsi="Calibri"/>
                <w:b/>
                <w:i w:val="0"/>
                <w:color w:val="0B3D91"/>
                <w:sz w:val="18"/>
              </w:rPr>
              <w:t>Installed Cooling Capacity</w:t>
            </w:r>
          </w:p>
        </w:tc>
        <w:tc>
          <w:tcPr>
            <w:tcW w:type="dxa" w:w="4680"/>
            <w:shd w:val="clear" w:color="auto" w:fill="CCF0FA"/>
          </w:tcPr>
          <w:p>
            <w:pPr>
              <w:jc w:val="left"/>
            </w:pPr>
            <w:r>
              <w:rPr>
                <w:rFonts w:ascii="Calibri" w:hAnsi="Calibri"/>
                <w:b/>
                <w:i w:val="0"/>
                <w:color w:val="0B3D91"/>
                <w:sz w:val="18"/>
              </w:rPr>
              <w:t>120.00 kW  (+372.7% above requirement)</w:t>
            </w:r>
          </w:p>
        </w:tc>
      </w:tr>
      <w:tr>
        <w:tc>
          <w:tcPr>
            <w:tcW w:type="dxa" w:w="4680"/>
            <w:shd w:val="clear" w:color="auto" w:fill="CCF0FA"/>
          </w:tcPr>
          <w:p>
            <w:pPr>
              <w:jc w:val="left"/>
            </w:pPr>
            <w:r>
              <w:rPr>
                <w:rFonts w:ascii="Calibri" w:hAnsi="Calibri"/>
                <w:b/>
                <w:i w:val="0"/>
                <w:color w:val="0B3D91"/>
                <w:sz w:val="18"/>
              </w:rPr>
              <w:t>Governing Mode</w:t>
            </w:r>
          </w:p>
        </w:tc>
        <w:tc>
          <w:tcPr>
            <w:tcW w:type="dxa" w:w="4680"/>
            <w:shd w:val="clear" w:color="auto" w:fill="CCF0FA"/>
          </w:tcPr>
          <w:p>
            <w:pPr>
              <w:jc w:val="left"/>
            </w:pPr>
            <w:r>
              <w:rPr>
                <w:rFonts w:ascii="Calibri" w:hAnsi="Calibri"/>
                <w:b/>
                <w:i w:val="0"/>
                <w:color w:val="0B3D91"/>
                <w:sz w:val="18"/>
              </w:rPr>
              <w:t>Heating</w:t>
            </w:r>
          </w:p>
        </w:tc>
      </w:tr>
    </w:tbl>
    <w:p/>
    <w:p>
      <w:r>
        <w:rPr>
          <w:rFonts w:ascii="Calibri" w:hAnsi="Calibri"/>
          <w:b/>
          <w:color w:val="0A2540"/>
          <w:sz w:val="22"/>
        </w:rPr>
        <w:t>Energy &amp; Operating Cost Analysis</w:t>
      </w:r>
    </w:p>
    <w:tbl>
      <w:tblPr>
        <w:tblStyle w:val="TableGrid"/>
        <w:tblW w:type="auto" w:w="0"/>
        <w:tblLook w:firstColumn="1" w:firstRow="1" w:lastColumn="0" w:lastRow="0" w:noHBand="0" w:noVBand="1" w:val="04A0"/>
      </w:tblPr>
      <w:tblGrid>
        <w:gridCol w:w="4680"/>
        <w:gridCol w:w="4680"/>
      </w:tblGrid>
      <w:tr>
        <w:tc>
          <w:tcPr>
            <w:tcW w:type="dxa" w:w="4680"/>
            <w:shd w:val="clear" w:color="auto" w:fill="0A2540"/>
          </w:tcPr>
          <w:p>
            <w:pPr>
              <w:jc w:val="center"/>
            </w:pPr>
            <w:r>
              <w:rPr>
                <w:rFonts w:ascii="Calibri" w:hAnsi="Calibri"/>
                <w:b/>
                <w:i w:val="0"/>
                <w:color w:val="FFFFFF"/>
                <w:sz w:val="18"/>
              </w:rPr>
              <w:t>Parameter</w:t>
            </w:r>
          </w:p>
        </w:tc>
        <w:tc>
          <w:tcPr>
            <w:tcW w:type="dxa" w:w="4680"/>
            <w:shd w:val="clear" w:color="auto" w:fill="0A2540"/>
          </w:tcPr>
          <w:p>
            <w:pPr>
              <w:jc w:val="center"/>
            </w:pPr>
            <w:r>
              <w:rPr>
                <w:rFonts w:ascii="Calibri" w:hAnsi="Calibri"/>
                <w:b/>
                <w:i w:val="0"/>
                <w:color w:val="FFFFFF"/>
                <w:sz w:val="18"/>
              </w:rPr>
              <w:t>Value</w:t>
            </w:r>
          </w:p>
        </w:tc>
      </w:tr>
      <w:tr>
        <w:tc>
          <w:tcPr>
            <w:tcW w:type="dxa" w:w="4680"/>
            <w:shd w:val="clear" w:color="auto" w:fill="0D4F6B"/>
          </w:tcPr>
          <w:p>
            <w:pPr>
              <w:jc w:val="left"/>
            </w:pPr>
            <w:r>
              <w:rPr>
                <w:rFonts w:ascii="Calibri" w:hAnsi="Calibri"/>
                <w:b/>
                <w:i w:val="0"/>
                <w:color w:val="FFFFFF"/>
                <w:sz w:val="18"/>
              </w:rPr>
              <w:t>SEASONAL PERFORMANCE</w:t>
            </w:r>
          </w:p>
        </w:tc>
        <w:tc>
          <w:tcPr>
            <w:tcW w:type="dxa" w:w="4680"/>
            <w:shd w:val="clear" w:color="auto" w:fill="0D4F6B"/>
          </w:tcPr>
          <w:p>
            <w:pPr>
              <w:jc w:val="left"/>
            </w:pPr>
            <w:r>
              <w:rPr>
                <w:rFonts w:ascii="Calibri" w:hAnsi="Calibri"/>
                <w:b w:val="0"/>
                <w:i w:val="0"/>
                <w:color w:val="FFFFFF"/>
                <w:sz w:val="18"/>
              </w:rPr>
            </w:r>
          </w:p>
        </w:tc>
      </w:tr>
      <w:tr>
        <w:tc>
          <w:tcPr>
            <w:tcW w:type="dxa" w:w="4680"/>
            <w:shd w:val="clear" w:color="auto" w:fill="FFFFFF"/>
          </w:tcPr>
          <w:p>
            <w:pPr>
              <w:jc w:val="left"/>
            </w:pPr>
            <w:r>
              <w:rPr>
                <w:rFonts w:ascii="Calibri" w:hAnsi="Calibri"/>
                <w:b/>
                <w:i w:val="0"/>
                <w:sz w:val="18"/>
              </w:rPr>
              <w:t>Mean Seasonal COP  (heating hours)</w:t>
            </w:r>
          </w:p>
        </w:tc>
        <w:tc>
          <w:tcPr>
            <w:tcW w:type="dxa" w:w="4680"/>
            <w:shd w:val="clear" w:color="auto" w:fill="FFFFFF"/>
          </w:tcPr>
          <w:p>
            <w:pPr>
              <w:jc w:val="left"/>
            </w:pPr>
            <w:r>
              <w:rPr>
                <w:rFonts w:ascii="Calibri" w:hAnsi="Calibri"/>
                <w:b w:val="0"/>
                <w:i w:val="0"/>
                <w:sz w:val="18"/>
              </w:rPr>
              <w:t>9.02  (hourly-weighted, accounting for ambient temperature variation)</w:t>
            </w:r>
          </w:p>
        </w:tc>
      </w:tr>
      <w:tr>
        <w:tc>
          <w:tcPr>
            <w:tcW w:type="dxa" w:w="4680"/>
            <w:shd w:val="clear" w:color="auto" w:fill="EFF9FC"/>
          </w:tcPr>
          <w:p>
            <w:pPr>
              <w:jc w:val="left"/>
            </w:pPr>
            <w:r>
              <w:rPr>
                <w:rFonts w:ascii="Calibri" w:hAnsi="Calibri"/>
                <w:b/>
                <w:i w:val="0"/>
                <w:sz w:val="18"/>
              </w:rPr>
              <w:t>Mean Seasonal EER  (cooling hours)</w:t>
            </w:r>
          </w:p>
        </w:tc>
        <w:tc>
          <w:tcPr>
            <w:tcW w:type="dxa" w:w="4680"/>
            <w:shd w:val="clear" w:color="auto" w:fill="EFF9FC"/>
          </w:tcPr>
          <w:p>
            <w:pPr>
              <w:jc w:val="left"/>
            </w:pPr>
            <w:r>
              <w:rPr>
                <w:rFonts w:ascii="Calibri" w:hAnsi="Calibri"/>
                <w:b w:val="0"/>
                <w:i w:val="0"/>
                <w:sz w:val="18"/>
              </w:rPr>
              <w:t>5.51  (hourly-weighted, accounting for ambient temperature variation)</w:t>
            </w:r>
          </w:p>
        </w:tc>
      </w:tr>
      <w:tr>
        <w:tc>
          <w:tcPr>
            <w:tcW w:type="dxa" w:w="4680"/>
            <w:shd w:val="clear" w:color="auto" w:fill="0D4F6B"/>
          </w:tcPr>
          <w:p>
            <w:pPr>
              <w:jc w:val="left"/>
            </w:pPr>
            <w:r>
              <w:rPr>
                <w:rFonts w:ascii="Calibri" w:hAnsi="Calibri"/>
                <w:b/>
                <w:i w:val="0"/>
                <w:color w:val="FFFFFF"/>
                <w:sz w:val="18"/>
              </w:rPr>
              <w:t>ANNUAL ELECTRICAL ENERGY</w:t>
            </w:r>
          </w:p>
        </w:tc>
        <w:tc>
          <w:tcPr>
            <w:tcW w:type="dxa" w:w="4680"/>
            <w:shd w:val="clear" w:color="auto" w:fill="0D4F6B"/>
          </w:tcPr>
          <w:p>
            <w:pPr>
              <w:jc w:val="left"/>
            </w:pPr>
            <w:r>
              <w:rPr>
                <w:rFonts w:ascii="Calibri" w:hAnsi="Calibri"/>
                <w:b w:val="0"/>
                <w:i w:val="0"/>
                <w:color w:val="FFFFFF"/>
                <w:sz w:val="18"/>
              </w:rPr>
            </w:r>
          </w:p>
        </w:tc>
      </w:tr>
      <w:tr>
        <w:tc>
          <w:tcPr>
            <w:tcW w:type="dxa" w:w="4680"/>
            <w:shd w:val="clear" w:color="auto" w:fill="EFF9FC"/>
          </w:tcPr>
          <w:p>
            <w:pPr>
              <w:jc w:val="left"/>
            </w:pPr>
            <w:r>
              <w:rPr>
                <w:rFonts w:ascii="Calibri" w:hAnsi="Calibri"/>
                <w:b/>
                <w:i w:val="0"/>
                <w:sz w:val="18"/>
              </w:rPr>
              <w:t>Heating — Electrical Energy</w:t>
            </w:r>
          </w:p>
        </w:tc>
        <w:tc>
          <w:tcPr>
            <w:tcW w:type="dxa" w:w="4680"/>
            <w:shd w:val="clear" w:color="auto" w:fill="EFF9FC"/>
          </w:tcPr>
          <w:p>
            <w:pPr>
              <w:jc w:val="left"/>
            </w:pPr>
            <w:r>
              <w:rPr>
                <w:rFonts w:ascii="Calibri" w:hAnsi="Calibri"/>
                <w:b w:val="0"/>
                <w:i w:val="0"/>
                <w:sz w:val="18"/>
              </w:rPr>
              <w:t>42,013 kWh / year</w:t>
            </w:r>
          </w:p>
        </w:tc>
      </w:tr>
      <w:tr>
        <w:tc>
          <w:tcPr>
            <w:tcW w:type="dxa" w:w="4680"/>
            <w:shd w:val="clear" w:color="auto" w:fill="FFFFFF"/>
          </w:tcPr>
          <w:p>
            <w:pPr>
              <w:jc w:val="left"/>
            </w:pPr>
            <w:r>
              <w:rPr>
                <w:rFonts w:ascii="Calibri" w:hAnsi="Calibri"/>
                <w:b/>
                <w:i w:val="0"/>
                <w:sz w:val="18"/>
              </w:rPr>
              <w:t>Cooling — Electrical Energy</w:t>
            </w:r>
          </w:p>
        </w:tc>
        <w:tc>
          <w:tcPr>
            <w:tcW w:type="dxa" w:w="4680"/>
            <w:shd w:val="clear" w:color="auto" w:fill="FFFFFF"/>
          </w:tcPr>
          <w:p>
            <w:pPr>
              <w:jc w:val="left"/>
            </w:pPr>
            <w:r>
              <w:rPr>
                <w:rFonts w:ascii="Calibri" w:hAnsi="Calibri"/>
                <w:b w:val="0"/>
                <w:i w:val="0"/>
                <w:sz w:val="18"/>
              </w:rPr>
              <w:t>8,431 kWh / year</w:t>
            </w:r>
          </w:p>
        </w:tc>
      </w:tr>
      <w:tr>
        <w:tc>
          <w:tcPr>
            <w:tcW w:type="dxa" w:w="4680"/>
            <w:shd w:val="clear" w:color="auto" w:fill="CCF0FA"/>
          </w:tcPr>
          <w:p>
            <w:pPr>
              <w:jc w:val="left"/>
            </w:pPr>
            <w:r>
              <w:rPr>
                <w:rFonts w:ascii="Calibri" w:hAnsi="Calibri"/>
                <w:b/>
                <w:i w:val="0"/>
                <w:color w:val="0B3D91"/>
                <w:sz w:val="18"/>
              </w:rPr>
              <w:t>Total Electrical Energy</w:t>
            </w:r>
          </w:p>
        </w:tc>
        <w:tc>
          <w:tcPr>
            <w:tcW w:type="dxa" w:w="4680"/>
            <w:shd w:val="clear" w:color="auto" w:fill="CCF0FA"/>
          </w:tcPr>
          <w:p>
            <w:pPr>
              <w:jc w:val="left"/>
            </w:pPr>
            <w:r>
              <w:rPr>
                <w:rFonts w:ascii="Calibri" w:hAnsi="Calibri"/>
                <w:b/>
                <w:i w:val="0"/>
                <w:color w:val="0B3D91"/>
                <w:sz w:val="18"/>
              </w:rPr>
              <w:t>50,443 kWh / year</w:t>
            </w:r>
          </w:p>
        </w:tc>
      </w:tr>
      <w:tr>
        <w:tc>
          <w:tcPr>
            <w:tcW w:type="dxa" w:w="4680"/>
            <w:shd w:val="clear" w:color="auto" w:fill="0D4F6B"/>
          </w:tcPr>
          <w:p>
            <w:pPr>
              <w:jc w:val="left"/>
            </w:pPr>
            <w:r>
              <w:rPr>
                <w:rFonts w:ascii="Calibri" w:hAnsi="Calibri"/>
                <w:b/>
                <w:i w:val="0"/>
                <w:color w:val="FFFFFF"/>
                <w:sz w:val="18"/>
              </w:rPr>
              <w:t>OPERATING COST</w:t>
            </w:r>
          </w:p>
        </w:tc>
        <w:tc>
          <w:tcPr>
            <w:tcW w:type="dxa" w:w="4680"/>
            <w:shd w:val="clear" w:color="auto" w:fill="0D4F6B"/>
          </w:tcPr>
          <w:p>
            <w:pPr>
              <w:jc w:val="left"/>
            </w:pPr>
            <w:r>
              <w:rPr>
                <w:rFonts w:ascii="Calibri" w:hAnsi="Calibri"/>
                <w:b w:val="0"/>
                <w:i w:val="0"/>
                <w:color w:val="FFFFFF"/>
                <w:sz w:val="18"/>
              </w:rPr>
            </w:r>
          </w:p>
        </w:tc>
      </w:tr>
      <w:tr>
        <w:tc>
          <w:tcPr>
            <w:tcW w:type="dxa" w:w="4680"/>
            <w:shd w:val="clear" w:color="auto" w:fill="EFF9FC"/>
          </w:tcPr>
          <w:p>
            <w:pPr>
              <w:jc w:val="left"/>
            </w:pPr>
            <w:r>
              <w:rPr>
                <w:rFonts w:ascii="Calibri" w:hAnsi="Calibri"/>
                <w:b/>
                <w:i w:val="0"/>
                <w:sz w:val="18"/>
              </w:rPr>
              <w:t>Electricity Tariff</w:t>
            </w:r>
          </w:p>
        </w:tc>
        <w:tc>
          <w:tcPr>
            <w:tcW w:type="dxa" w:w="4680"/>
            <w:shd w:val="clear" w:color="auto" w:fill="EFF9FC"/>
          </w:tcPr>
          <w:p>
            <w:pPr>
              <w:jc w:val="left"/>
            </w:pPr>
            <w:r>
              <w:rPr>
                <w:rFonts w:ascii="Calibri" w:hAnsi="Calibri"/>
                <w:b w:val="0"/>
                <w:i w:val="0"/>
                <w:sz w:val="18"/>
              </w:rPr>
              <w:t>0.3800  AED / kWh</w:t>
            </w:r>
          </w:p>
        </w:tc>
      </w:tr>
      <w:tr>
        <w:tc>
          <w:tcPr>
            <w:tcW w:type="dxa" w:w="4680"/>
            <w:shd w:val="clear" w:color="auto" w:fill="CCF0FA"/>
          </w:tcPr>
          <w:p>
            <w:pPr>
              <w:jc w:val="left"/>
            </w:pPr>
            <w:r>
              <w:rPr>
                <w:rFonts w:ascii="Calibri" w:hAnsi="Calibri"/>
                <w:b/>
                <w:i w:val="0"/>
                <w:color w:val="0B3D91"/>
                <w:sz w:val="18"/>
              </w:rPr>
              <w:t>Estimated Annual Electricity Cost</w:t>
            </w:r>
          </w:p>
        </w:tc>
        <w:tc>
          <w:tcPr>
            <w:tcW w:type="dxa" w:w="4680"/>
            <w:shd w:val="clear" w:color="auto" w:fill="CCF0FA"/>
          </w:tcPr>
          <w:p>
            <w:pPr>
              <w:jc w:val="left"/>
            </w:pPr>
            <w:r>
              <w:rPr>
                <w:rFonts w:ascii="Calibri" w:hAnsi="Calibri"/>
                <w:b/>
                <w:i w:val="0"/>
                <w:color w:val="0B3D91"/>
                <w:sz w:val="18"/>
              </w:rPr>
              <w:t>19,168  AED / year</w:t>
            </w:r>
          </w:p>
        </w:tc>
      </w:tr>
    </w:tbl>
    <w:p/>
    <w:p>
      <w:r>
        <w:rPr>
          <w:rFonts w:ascii="Calibri" w:hAnsi="Calibri"/>
          <w:i/>
          <w:color w:val="6B7280"/>
          <w:sz w:val="16"/>
        </w:rPr>
        <w:t>Note: Mean seasonal COP/EER are calculated by dividing total thermal output by total electrical input across all operating hours; COP and EER vary each hour with the ambient temperature. COP is linear between the catalogue rating point (A27) and A15 (measured), held at the higher rated value above the rating point, floored at 1.0, with the ambient clamped to the unit's operating range 2-53 degC. Below 15 degC the COP is a linear extension of the A27 / A15 pair, not a printed datasheet value - the library holds no COP below A15 (overnight call 28.09 N5, recommended option, Hussein review). EER falls 0.04 per degC above A43 and rises 0.01 per degC below, floored at 0.5. These are library curves from the Astral datasheets, not an EN 14511 rating (EN 14511-2 Table 13 rates air-to-water units at 7 / 6 degC outdoor and 40 / 45 degC water). Electrical consumption = thermal load ÷ COP(Tₐₘᵇ) per hour.</w:t>
      </w:r>
    </w:p>
    <w:p/>
    <w:p>
      <w:pPr>
        <w:pStyle w:val="Heading1"/>
        <w:pBdr>
          <w:bottom w:val="single" w:sz="6" w:space="4" w:color="0A2540"/>
        </w:pBdr>
      </w:pPr>
      <w:r>
        <w:rPr>
          <w:rFonts w:ascii="Calibri" w:hAnsi="Calibri"/>
          <w:b/>
          <w:color w:val="0A2540"/>
          <w:sz w:val="26"/>
        </w:rPr>
        <w:t>R.  Reference Standards</w:t>
      </w:r>
    </w:p>
    <w:p>
      <w:pPr>
        <w:pStyle w:val="ListBullet"/>
      </w:pPr>
      <w:r>
        <w:rPr>
          <w:rFonts w:ascii="Calibri" w:hAnsi="Calibri"/>
          <w:b/>
          <w:color w:val="0A2540"/>
          <w:sz w:val="18"/>
        </w:rPr>
        <w:t>ASHRAE HVAC Applications — 2007 Ch. 4 (SI Eq. 1) / 2019 Ch. 6 (I-P Eq. 2)</w:t>
      </w:r>
      <w:r>
        <w:rPr>
          <w:rFonts w:ascii="Calibri" w:hAnsi="Calibri"/>
          <w:color w:val="374151"/>
          <w:sz w:val="18"/>
        </w:rPr>
        <w:t xml:space="preserve"> — Natatorium evaporation equation + activity-factor table (the engine uses the SI Eq. 1 form).</w:t>
      </w:r>
    </w:p>
    <w:p>
      <w:pPr>
        <w:pStyle w:val="ListBullet"/>
      </w:pPr>
      <w:r>
        <w:rPr>
          <w:rFonts w:ascii="Calibri" w:hAnsi="Calibri"/>
          <w:b/>
          <w:color w:val="0A2540"/>
          <w:sz w:val="18"/>
        </w:rPr>
        <w:t>Shah, M.M. (2014) ASHRAE Trans. SE-14-001  (outdoor)</w:t>
      </w:r>
      <w:r>
        <w:rPr>
          <w:rFonts w:ascii="Calibri" w:hAnsi="Calibri"/>
          <w:color w:val="374151"/>
          <w:sz w:val="18"/>
        </w:rPr>
        <w:t xml:space="preserve"> — Outdoor wind-driven pool evaporation (Eq. (7), p. 8), floored by the ASHRAE 2007 Ch. 4 Eq. 1 calm value (engineer extension; Shah's Table 14 takes the largest of his Eq. (1), (2), (7)); occupied outdoor pools by Eq. (5), p. 4 (Table 14, p. 13), with (ρ_r − ρ_w) held at the Table 6 p. 7 verified limit (engineer extension, ruling R2-01).</w:t>
      </w:r>
    </w:p>
    <w:p>
      <w:pPr>
        <w:pStyle w:val="ListBullet"/>
      </w:pPr>
      <w:r>
        <w:rPr>
          <w:rFonts w:ascii="Calibri" w:hAnsi="Calibri"/>
          <w:b/>
          <w:color w:val="0A2540"/>
          <w:sz w:val="18"/>
        </w:rPr>
        <w:t>Arden Buck (1981)</w:t>
      </w:r>
      <w:r>
        <w:rPr>
          <w:rFonts w:ascii="Calibri" w:hAnsi="Calibri"/>
          <w:color w:val="374151"/>
          <w:sz w:val="18"/>
        </w:rPr>
        <w:t xml:space="preserve"> — Saturation vapour pressure equation (over liquid water / over ice).</w:t>
      </w:r>
    </w:p>
    <w:p>
      <w:pPr>
        <w:pStyle w:val="ListBullet"/>
      </w:pPr>
      <w:r>
        <w:rPr>
          <w:rFonts w:ascii="Calibri" w:hAnsi="Calibri"/>
          <w:b/>
          <w:color w:val="0A2540"/>
          <w:sz w:val="18"/>
        </w:rPr>
        <w:t>McAdams (1954)</w:t>
      </w:r>
      <w:r>
        <w:rPr>
          <w:rFonts w:ascii="Calibri" w:hAnsi="Calibri"/>
          <w:color w:val="374151"/>
          <w:sz w:val="18"/>
        </w:rPr>
        <w:t xml:space="preserve"> — Forced-convection coefficient for an open water surface.</w:t>
      </w:r>
    </w:p>
    <w:p>
      <w:pPr>
        <w:pStyle w:val="ListBullet"/>
      </w:pPr>
      <w:r>
        <w:rPr>
          <w:rFonts w:ascii="Calibri" w:hAnsi="Calibri"/>
          <w:b/>
          <w:color w:val="0A2540"/>
          <w:sz w:val="18"/>
        </w:rPr>
        <w:t>Stefan-Boltzmann radiation; Swinbank (1963) sky temperature  (outdoor)</w:t>
      </w:r>
      <w:r>
        <w:rPr>
          <w:rFonts w:ascii="Calibri" w:hAnsi="Calibri"/>
          <w:color w:val="374151"/>
          <w:sz w:val="18"/>
        </w:rPr>
        <w:t xml:space="preserve"> — Longwave radiation loss; the clear-sky temperature model applies to outdoor pools.</w:t>
      </w:r>
    </w:p>
    <w:p>
      <w:pPr>
        <w:pStyle w:val="ListBullet"/>
      </w:pPr>
      <w:r>
        <w:rPr>
          <w:rFonts w:ascii="Calibri" w:hAnsi="Calibri"/>
          <w:b/>
          <w:color w:val="0A2540"/>
          <w:sz w:val="18"/>
        </w:rPr>
        <w:t>CIBSE Guide G (2014) / BS 5385-4:2009</w:t>
      </w:r>
      <w:r>
        <w:rPr>
          <w:rFonts w:ascii="Calibri" w:hAnsi="Calibri"/>
          <w:color w:val="374151"/>
          <w:sz w:val="18"/>
        </w:rPr>
        <w:t xml:space="preserve"> — Pool water/air set-points; heat-up-rate limits (0.25/0.5 °C·h⁻¹).</w:t>
      </w:r>
    </w:p>
    <w:p>
      <w:pPr>
        <w:pStyle w:val="ListBullet"/>
      </w:pPr>
      <w:r>
        <w:rPr>
          <w:rFonts w:ascii="Calibri" w:hAnsi="Calibri"/>
          <w:b/>
          <w:color w:val="0A2540"/>
          <w:sz w:val="18"/>
        </w:rPr>
        <w:t>ISPSC 2021 #303.1.3</w:t>
      </w:r>
      <w:r>
        <w:rPr>
          <w:rFonts w:ascii="Calibri" w:hAnsi="Calibri"/>
          <w:color w:val="374151"/>
          <w:sz w:val="18"/>
        </w:rPr>
        <w:t xml:space="preserve"> — Outdoor heated-pool cover requirement + &gt;70% heat-pump exception.</w:t>
      </w:r>
    </w:p>
    <w:p>
      <w:pPr>
        <w:pStyle w:val="ListBullet"/>
      </w:pPr>
      <w:r>
        <w:rPr>
          <w:rFonts w:ascii="Calibri" w:hAnsi="Calibri"/>
          <w:b/>
          <w:color w:val="0A2540"/>
          <w:sz w:val="18"/>
        </w:rPr>
        <w:t>Open-Meteo Archive API</w:t>
      </w:r>
      <w:r>
        <w:rPr>
          <w:rFonts w:ascii="Calibri" w:hAnsi="Calibri"/>
          <w:color w:val="374151"/>
          <w:sz w:val="18"/>
        </w:rPr>
        <w:t xml:space="preserve"> — Hourly historical weather data (T, RH, wind, shortwave radiation). Weather data by Open-Meteo.com (https://open-meteo.com/), licensed CC BY 4.0 (https://creativecommons.org/licenses/by/4.0/). Generated using Copernicus Climate Change Service information 2022. Values derived from the hourly data (percentiles, simulation frames) were computed by this tool.</w:t>
      </w:r>
    </w:p>
    <w:p>
      <w:r>
        <w:rPr>
          <w:rFonts w:ascii="Calibri" w:hAnsi="Calibri"/>
          <w:i/>
          <w:color w:val="6B7280"/>
          <w:sz w:val="16"/>
        </w:rPr>
        <w:t>Engineer of record: Hussein Ragab</w:t>
      </w:r>
    </w:p>
    <w:p>
      <w:r>
        <w:rPr>
          <w:rFonts w:ascii="Calibri" w:hAnsi="Calibri"/>
          <w:i/>
          <w:color w:val="6B7280"/>
          <w:sz w:val="16"/>
        </w:rPr>
        <w:t>Generated by the Swimming Pool Load Simulator — pool thermal-load analysis on the ASHRAE HVAC Applications 2007 Ch. 4 Eq. 1 (indoor) / Shah 2014 (outdoor) evaporation basis.</w:t>
      </w:r>
    </w:p>
    <w:sectPr w:rsidR="00FC693F" w:rsidRPr="0006063C" w:rsidSect="00034616">
      <w:footerReference w:type="default" r:id="rId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6B7280"/>
        <w:sz w:val="16"/>
      </w:rPr>
      <w:t xml:space="preserve">Page </w:t>
    </w:r>
    <w:r>
      <w:rPr>
        <w:rFonts w:ascii="Calibri" w:hAnsi="Calibri"/>
        <w:color w:val="6B7280"/>
        <w:sz w:val="16"/>
      </w:rPr>
      <w:fldChar w:fldCharType="begin"/>
      <w:instrText>PAGE</w:instrText>
      <w:fldChar w:fldCharType="end"/>
    </w:r>
    <w:r>
      <w:rPr>
        <w:rFonts w:ascii="Calibri" w:hAnsi="Calibri"/>
        <w:color w:val="6B7280"/>
        <w:sz w:val="16"/>
      </w:rPr>
      <w:t xml:space="preserve"> of </w:t>
    </w:r>
    <w:r>
      <w:rPr>
        <w:rFonts w:ascii="Calibri" w:hAnsi="Calibri"/>
        <w:color w:val="6B7280"/>
        <w:sz w:val="16"/>
      </w:rPr>
      <w:fldChar w:fldCharType="begin"/>
      <w:instrText>NUMPAGES</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