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360"/>
      </w:tblGrid>
      <w:tr>
        <w:tc>
          <w:tcPr>
            <w:tcW w:type="dxa" w:w="9360"/>
            <w:shd w:val="clear" w:color="auto" w:fill="0A2540"/>
          </w:tcPr>
          <w:p>
            <w:pPr>
              <w:jc w:val="center"/>
            </w:pPr>
            <w:r>
              <w:rPr>
                <w:rFonts w:ascii="Calibri" w:hAnsi="Calibri"/>
                <w:b/>
                <w:color w:val="FFFFFF"/>
                <w:sz w:val="40"/>
              </w:rPr>
              <w:t>Substation Ventilation Compliance</w:t>
            </w:r>
          </w:p>
        </w:tc>
      </w:tr>
      <w:tr>
        <w:tc>
          <w:tcPr>
            <w:tcW w:type="dxa" w:w="9360"/>
            <w:shd w:val="clear" w:color="auto" w:fill="0D4F6B"/>
          </w:tcPr>
          <w:p>
            <w:pPr>
              <w:jc w:val="center"/>
            </w:pPr>
            <w:r>
              <w:rPr>
                <w:rFonts w:ascii="Calibri" w:hAnsi="Calibri"/>
                <w:b w:val="0"/>
                <w:color w:val="FFFFFF"/>
                <w:sz w:val="24"/>
              </w:rPr>
              <w:t>Transformer room heat balance (AHJ defaults)</w:t>
            </w:r>
          </w:p>
        </w:tc>
      </w:tr>
      <w:tr>
        <w:tc>
          <w:tcPr>
            <w:tcW w:type="dxa" w:w="9360"/>
            <w:shd w:val="clear" w:color="auto" w:fill="1A3A5C"/>
          </w:tcPr>
          <w:p>
            <w:pPr>
              <w:jc w:val="center"/>
            </w:pPr>
            <w:r>
              <w:rPr>
                <w:rFonts w:ascii="Calibri" w:hAnsi="Calibri"/>
                <w:b w:val="0"/>
                <w:color w:val="CCF0FA"/>
                <w:sz w:val="20"/>
              </w:rPr>
              <w:t>Basement — forced mechanical ventilation</w:t>
            </w:r>
          </w:p>
        </w:tc>
      </w:tr>
    </w:tbl>
    <w:p/>
    <w:tbl>
      <w:tblPr>
        <w:tblStyle w:val="TableGrid"/>
        <w:tblW w:type="auto" w:w="0"/>
        <w:tblLook w:firstColumn="1" w:firstRow="1" w:lastColumn="0" w:lastRow="0" w:noHBand="0" w:noVBand="1" w:val="04A0"/>
      </w:tblPr>
      <w:tblGrid>
        <w:gridCol w:w="4680"/>
        <w:gridCol w:w="4680"/>
      </w:tblGrid>
      <w:tr>
        <w:tc>
          <w:tcPr>
            <w:tcW w:type="dxa" w:w="9360"/>
            <w:gridSpan w:val="2"/>
            <w:shd w:val="clear" w:color="auto" w:fill="0A2540"/>
          </w:tcPr>
          <w:p>
            <w:pPr>
              <w:jc w:val="center"/>
            </w:pPr>
            <w:r>
              <w:rPr>
                <w:rFonts w:ascii="Calibri" w:hAnsi="Calibri"/>
                <w:b/>
                <w:i w:val="0"/>
                <w:color w:val="FFFFFF"/>
                <w:sz w:val="20"/>
              </w:rPr>
              <w:t>Project Information</w:t>
            </w:r>
          </w:p>
        </w:tc>
      </w:tr>
      <w:tr>
        <w:tc>
          <w:tcPr>
            <w:tcW w:type="dxa" w:w="4680"/>
            <w:shd w:val="clear" w:color="auto" w:fill="EFF9FC"/>
          </w:tcPr>
          <w:p>
            <w:pPr>
              <w:jc w:val="left"/>
            </w:pPr>
            <w:r>
              <w:rPr>
                <w:rFonts w:ascii="Calibri" w:hAnsi="Calibri"/>
                <w:b/>
                <w:i w:val="0"/>
                <w:sz w:val="18"/>
              </w:rPr>
              <w:t>Project Name</w:t>
            </w:r>
          </w:p>
        </w:tc>
        <w:tc>
          <w:tcPr>
            <w:tcW w:type="dxa" w:w="4680"/>
            <w:shd w:val="clear" w:color="auto" w:fill="EFF9FC"/>
          </w:tcPr>
          <w:p>
            <w:pPr>
              <w:jc w:val="left"/>
            </w:pPr>
            <w:r>
              <w:rPr>
                <w:rFonts w:ascii="Calibri" w:hAnsi="Calibri"/>
                <w:b w:val="0"/>
                <w:i w:val="0"/>
                <w:color w:val="0B3D91"/>
                <w:sz w:val="18"/>
              </w:rPr>
              <w:t>Marina Commercial Tower</w:t>
            </w:r>
          </w:p>
        </w:tc>
      </w:tr>
      <w:tr>
        <w:tc>
          <w:tcPr>
            <w:tcW w:type="dxa" w:w="4680"/>
            <w:shd w:val="clear" w:color="auto" w:fill="FFFFFF"/>
          </w:tcPr>
          <w:p>
            <w:pPr>
              <w:jc w:val="left"/>
            </w:pPr>
            <w:r>
              <w:rPr>
                <w:rFonts w:ascii="Calibri" w:hAnsi="Calibri"/>
                <w:b/>
                <w:i w:val="0"/>
                <w:sz w:val="18"/>
              </w:rPr>
              <w:t>Project No.</w:t>
            </w:r>
          </w:p>
        </w:tc>
        <w:tc>
          <w:tcPr>
            <w:tcW w:type="dxa" w:w="4680"/>
            <w:shd w:val="clear" w:color="auto" w:fill="FFFFFF"/>
          </w:tcPr>
          <w:p>
            <w:pPr>
              <w:jc w:val="left"/>
            </w:pPr>
            <w:r>
              <w:rPr>
                <w:rFonts w:ascii="Calibri" w:hAnsi="Calibri"/>
                <w:b w:val="0"/>
                <w:i w:val="0"/>
                <w:color w:val="0B3D91"/>
                <w:sz w:val="18"/>
              </w:rPr>
              <w:t>MCT-2026-MEP-001</w:t>
            </w:r>
          </w:p>
        </w:tc>
      </w:tr>
      <w:tr>
        <w:tc>
          <w:tcPr>
            <w:tcW w:type="dxa" w:w="4680"/>
            <w:shd w:val="clear" w:color="auto" w:fill="EFF9FC"/>
          </w:tcPr>
          <w:p>
            <w:pPr>
              <w:jc w:val="left"/>
            </w:pPr>
            <w:r>
              <w:rPr>
                <w:rFonts w:ascii="Calibri" w:hAnsi="Calibri"/>
                <w:b/>
                <w:i w:val="0"/>
                <w:sz w:val="18"/>
              </w:rPr>
              <w:t>Revision</w:t>
            </w:r>
          </w:p>
        </w:tc>
        <w:tc>
          <w:tcPr>
            <w:tcW w:type="dxa" w:w="4680"/>
            <w:shd w:val="clear" w:color="auto" w:fill="EFF9FC"/>
          </w:tcPr>
          <w:p>
            <w:pPr>
              <w:jc w:val="left"/>
            </w:pPr>
            <w:r>
              <w:rPr>
                <w:rFonts w:ascii="Calibri" w:hAnsi="Calibri"/>
                <w:b w:val="0"/>
                <w:i w:val="0"/>
                <w:color w:val="0B3D91"/>
                <w:sz w:val="18"/>
              </w:rPr>
              <w:t>P2</w:t>
            </w:r>
          </w:p>
        </w:tc>
      </w:tr>
      <w:tr>
        <w:tc>
          <w:tcPr>
            <w:tcW w:type="dxa" w:w="4680"/>
            <w:shd w:val="clear" w:color="auto" w:fill="FFFFFF"/>
          </w:tcPr>
          <w:p>
            <w:pPr>
              <w:jc w:val="left"/>
            </w:pPr>
            <w:r>
              <w:rPr>
                <w:rFonts w:ascii="Calibri" w:hAnsi="Calibri"/>
                <w:b/>
                <w:i w:val="0"/>
                <w:sz w:val="18"/>
              </w:rPr>
              <w:t>Client</w:t>
            </w:r>
          </w:p>
        </w:tc>
        <w:tc>
          <w:tcPr>
            <w:tcW w:type="dxa" w:w="4680"/>
            <w:shd w:val="clear" w:color="auto" w:fill="FFFFFF"/>
          </w:tcPr>
          <w:p>
            <w:pPr>
              <w:jc w:val="left"/>
            </w:pPr>
            <w:r>
              <w:rPr>
                <w:rFonts w:ascii="Calibri" w:hAnsi="Calibri"/>
                <w:b w:val="0"/>
                <w:i w:val="0"/>
                <w:color w:val="6B7280"/>
                <w:sz w:val="18"/>
              </w:rPr>
              <w:t>—</w:t>
            </w:r>
          </w:p>
        </w:tc>
      </w:tr>
      <w:tr>
        <w:tc>
          <w:tcPr>
            <w:tcW w:type="dxa" w:w="4680"/>
            <w:shd w:val="clear" w:color="auto" w:fill="EFF9FC"/>
          </w:tcPr>
          <w:p>
            <w:pPr>
              <w:jc w:val="left"/>
            </w:pPr>
            <w:r>
              <w:rPr>
                <w:rFonts w:ascii="Calibri" w:hAnsi="Calibri"/>
                <w:b/>
                <w:i w:val="0"/>
                <w:sz w:val="18"/>
              </w:rPr>
              <w:t>Prepared by</w:t>
            </w:r>
          </w:p>
        </w:tc>
        <w:tc>
          <w:tcPr>
            <w:tcW w:type="dxa" w:w="4680"/>
            <w:shd w:val="clear" w:color="auto" w:fill="EFF9FC"/>
          </w:tcPr>
          <w:p>
            <w:pPr>
              <w:jc w:val="left"/>
            </w:pPr>
            <w:r>
              <w:rPr>
                <w:rFonts w:ascii="Calibri" w:hAnsi="Calibri"/>
                <w:b w:val="0"/>
                <w:i w:val="0"/>
                <w:color w:val="0B3D91"/>
                <w:sz w:val="18"/>
              </w:rPr>
              <w:t>Hussein Ragab</w:t>
            </w:r>
          </w:p>
        </w:tc>
      </w:tr>
      <w:tr>
        <w:tc>
          <w:tcPr>
            <w:tcW w:type="dxa" w:w="4680"/>
            <w:shd w:val="clear" w:color="auto" w:fill="FFFFFF"/>
          </w:tcPr>
          <w:p>
            <w:pPr>
              <w:jc w:val="left"/>
            </w:pPr>
            <w:r>
              <w:rPr>
                <w:rFonts w:ascii="Calibri" w:hAnsi="Calibri"/>
                <w:b/>
                <w:i w:val="0"/>
                <w:sz w:val="18"/>
              </w:rPr>
              <w:t>Checked by</w:t>
            </w:r>
          </w:p>
        </w:tc>
        <w:tc>
          <w:tcPr>
            <w:tcW w:type="dxa" w:w="4680"/>
            <w:shd w:val="clear" w:color="auto" w:fill="FFFFFF"/>
          </w:tcPr>
          <w:p>
            <w:pPr>
              <w:jc w:val="left"/>
            </w:pPr>
            <w:r>
              <w:rPr>
                <w:rFonts w:ascii="Calibri" w:hAnsi="Calibri"/>
                <w:b w:val="0"/>
                <w:i w:val="0"/>
                <w:color w:val="6B7280"/>
                <w:sz w:val="18"/>
              </w:rPr>
              <w:t>—</w:t>
            </w:r>
          </w:p>
        </w:tc>
      </w:tr>
      <w:tr>
        <w:tc>
          <w:tcPr>
            <w:tcW w:type="dxa" w:w="4680"/>
            <w:shd w:val="clear" w:color="auto" w:fill="EFF9FC"/>
          </w:tcPr>
          <w:p>
            <w:pPr>
              <w:jc w:val="left"/>
            </w:pPr>
            <w:r>
              <w:rPr>
                <w:rFonts w:ascii="Calibri" w:hAnsi="Calibri"/>
                <w:b/>
                <w:i w:val="0"/>
                <w:sz w:val="18"/>
              </w:rPr>
              <w:t>Date</w:t>
            </w:r>
          </w:p>
        </w:tc>
        <w:tc>
          <w:tcPr>
            <w:tcW w:type="dxa" w:w="4680"/>
            <w:shd w:val="clear" w:color="auto" w:fill="EFF9FC"/>
          </w:tcPr>
          <w:p>
            <w:pPr>
              <w:jc w:val="left"/>
            </w:pPr>
            <w:r>
              <w:rPr>
                <w:rFonts w:ascii="Calibri" w:hAnsi="Calibri"/>
                <w:b w:val="0"/>
                <w:i w:val="0"/>
                <w:color w:val="0B3D91"/>
                <w:sz w:val="18"/>
              </w:rPr>
              <w:t>2026-10-20</w:t>
            </w:r>
          </w:p>
        </w:tc>
      </w:tr>
    </w:tbl>
    <w:p/>
    <w:p>
      <w:r>
        <w:rPr>
          <w:rFonts w:ascii="Calibri" w:hAnsi="Calibri"/>
          <w:i/>
          <w:color w:val="374151"/>
          <w:sz w:val="18"/>
        </w:rPr>
        <w:t>Values in this report are displayed in SI (metric) units.</w:t>
      </w:r>
    </w:p>
    <w:p>
      <w:pPr>
        <w:pStyle w:val="Heading1"/>
        <w:pBdr>
          <w:bottom w:val="single" w:sz="6" w:space="4" w:color="0A2540"/>
        </w:pBdr>
      </w:pPr>
      <w:r>
        <w:rPr>
          <w:rFonts w:ascii="Calibri" w:hAnsi="Calibri"/>
          <w:b/>
          <w:color w:val="0A2540"/>
          <w:sz w:val="26"/>
        </w:rPr>
        <w:t>1.  Methodology &amp; Standards</w:t>
      </w:r>
    </w:p>
    <w:p>
      <w:r>
        <w:t>This report sizes the ventilation of an electrical substation transformer room. For a basement transformer room with no exterior walls, independent mechanical supply and exhaust ventilation is sized to hold the interior air at the maximum interior temperature for the design outside air temperature (AHJ defaults, listed under Design Assumptions), with louvers on two sides as a natural back-up. For a ground-floor room with two exterior walls, natural ventilation through louvered doors and fixed louvers is verified against the same heat balance; the same design point and grill-area floor are applied on that path as the tool's conservative design basis. Every jurisdiction-dependent value is an editable default - verify each against the local AHJ requirement.</w:t>
      </w:r>
    </w:p>
    <w:p>
      <w:r>
        <w:t>Transformer heat is taken either as the authority preset loss (1.29 % of rated kVA) or as the datasheet loss P_loss = P0 + Pk x LF^2 at the load factor LF (this tool evaluates full load, LF = 1, so P_loss = P0 + Pk) per IEC 60076-8:1997. The required airflow follows Figure G.52 forced-ventilation nomogram, as measured from the figure: the figure's rays were measured from its own vector geometry by two independent routes, giving a volumetric heat capacity of 1125 J/(m3.K) at sea level, i.e. V = P_loss / ((rho.cp) x dT). The figure's drawn 4 x 1,000 kVA example (51.14 kW on the 7 K ray) reads 23,238 m3/h and this method reproduces it to within 1 %. The physics value used before 2026-09-07 — standard air, rho = 1.225 kg/m3 at ISA 15 degC times cp = 1005 J/(kg.K) = 1231 J/(m3.K) at sea level — is printed in the calculation trace as a comparison; it asks for 8.6 % LESS air than the governing figure and is no longer the basis. The louver/grill total free area is taken as the larger of (a) the prescriptive minimum (AHJ defaults) — 14.9 m2 for a 1000 kVA transformer and 18.6 m2 for a 1500 kVA transformer, applied per transformer and summed over the transformer rows (a rating between or outside the two anchors is interpolated or extrapolated per unit and flagged for AHJ confirmation) — and (b) a supplementary natural-convection free area (CIBSE AM10 stack effect). The forced system uses a duty + standby fan arrangement on both supply (make-up) and extract, with fire-rated GI ductwork, non-return dampers and motorised smoke/fire dampers (advisory - confirm with the AHJ).</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Standard / Clause</w:t>
            </w:r>
          </w:p>
        </w:tc>
        <w:tc>
          <w:tcPr>
            <w:tcW w:type="dxa" w:w="4680"/>
            <w:shd w:val="clear" w:color="auto" w:fill="0A2540"/>
          </w:tcPr>
          <w:p>
            <w:pPr>
              <w:jc w:val="center"/>
            </w:pPr>
            <w:r>
              <w:rPr>
                <w:rFonts w:ascii="Calibri" w:hAnsi="Calibri"/>
                <w:b/>
                <w:i w:val="0"/>
                <w:color w:val="FFFFFF"/>
                <w:sz w:val="18"/>
              </w:rPr>
              <w:t>Application</w:t>
            </w:r>
          </w:p>
        </w:tc>
      </w:tr>
      <w:tr>
        <w:tc>
          <w:tcPr>
            <w:tcW w:type="dxa" w:w="4680"/>
            <w:shd w:val="clear" w:color="auto" w:fill="EFF9FC"/>
          </w:tcPr>
          <w:p>
            <w:pPr>
              <w:jc w:val="left"/>
            </w:pPr>
            <w:r>
              <w:rPr>
                <w:rFonts w:ascii="Calibri" w:hAnsi="Calibri"/>
                <w:b/>
                <w:i w:val="0"/>
                <w:color w:val="0A2540"/>
                <w:sz w:val="18"/>
              </w:rPr>
              <w:t>Figure G.52 forced-ventilation nomogram (Dubai Building Code 2021, Part G, page G 96)</w:t>
            </w:r>
          </w:p>
        </w:tc>
        <w:tc>
          <w:tcPr>
            <w:tcW w:type="dxa" w:w="4680"/>
            <w:shd w:val="clear" w:color="auto" w:fill="EFF9FC"/>
          </w:tcPr>
          <w:p>
            <w:pPr>
              <w:jc w:val="left"/>
            </w:pPr>
            <w:r>
              <w:rPr>
                <w:rFonts w:ascii="Calibri" w:hAnsi="Calibri"/>
                <w:b w:val="0"/>
                <w:i w:val="0"/>
                <w:sz w:val="18"/>
              </w:rPr>
              <w:t>AIRFLOW METHOD SOURCE only - measured from the figure's own vector geometry (rho.cp = 1125 J/(m3.K) at sea level). Limits and preset values used with it are AHJ defaults (see Design Assumptions)</w:t>
            </w:r>
          </w:p>
        </w:tc>
      </w:tr>
      <w:tr>
        <w:tc>
          <w:tcPr>
            <w:tcW w:type="dxa" w:w="4680"/>
            <w:shd w:val="clear" w:color="auto" w:fill="FFFFFF"/>
          </w:tcPr>
          <w:p>
            <w:pPr>
              <w:jc w:val="left"/>
            </w:pPr>
            <w:r>
              <w:rPr>
                <w:rFonts w:ascii="Calibri" w:hAnsi="Calibri"/>
                <w:b/>
                <w:i w:val="0"/>
                <w:color w:val="0A2540"/>
                <w:sz w:val="18"/>
              </w:rPr>
              <w:t>IEC 60076-8:1997</w:t>
            </w:r>
          </w:p>
        </w:tc>
        <w:tc>
          <w:tcPr>
            <w:tcW w:type="dxa" w:w="4680"/>
            <w:shd w:val="clear" w:color="auto" w:fill="FFFFFF"/>
          </w:tcPr>
          <w:p>
            <w:pPr>
              <w:jc w:val="left"/>
            </w:pPr>
            <w:r>
              <w:rPr>
                <w:rFonts w:ascii="Calibri" w:hAnsi="Calibri"/>
                <w:b w:val="0"/>
                <w:i w:val="0"/>
                <w:sz w:val="18"/>
              </w:rPr>
              <w:t>Datasheet loss method P_loss = P0 + Pk x LF^2 (cl. 10.3: the load loss varies with the square of the current), evaluated at each transformer row's load factor, full load by default; transformer application guide</w:t>
            </w:r>
          </w:p>
        </w:tc>
      </w:tr>
      <w:tr>
        <w:tc>
          <w:tcPr>
            <w:tcW w:type="dxa" w:w="4680"/>
            <w:shd w:val="clear" w:color="auto" w:fill="EFF9FC"/>
          </w:tcPr>
          <w:p>
            <w:pPr>
              <w:jc w:val="left"/>
            </w:pPr>
            <w:r>
              <w:rPr>
                <w:rFonts w:ascii="Calibri" w:hAnsi="Calibri"/>
                <w:b/>
                <w:i w:val="0"/>
                <w:color w:val="0A2540"/>
                <w:sz w:val="18"/>
              </w:rPr>
              <w:t>BS EN 60034-30-1:2014 (= IEC 60034-30-1:2014)</w:t>
            </w:r>
          </w:p>
        </w:tc>
        <w:tc>
          <w:tcPr>
            <w:tcW w:type="dxa" w:w="4680"/>
            <w:shd w:val="clear" w:color="auto" w:fill="EFF9FC"/>
          </w:tcPr>
          <w:p>
            <w:pPr>
              <w:jc w:val="left"/>
            </w:pPr>
            <w:r>
              <w:rPr>
                <w:rFonts w:ascii="Calibri" w:hAnsi="Calibri"/>
                <w:b w:val="0"/>
                <w:i w:val="0"/>
                <w:sz w:val="18"/>
              </w:rPr>
              <w:t>Motor efficiency for an IE class: the nominal efficiency limit printed for the SELECTED motor rating, 50 Hz, 4-pole (Tables 3 / 5 / 7 / 9); a Custom efficiency is the engineer's own value</w:t>
            </w:r>
          </w:p>
        </w:tc>
      </w:tr>
      <w:tr>
        <w:tc>
          <w:tcPr>
            <w:tcW w:type="dxa" w:w="4680"/>
            <w:shd w:val="clear" w:color="auto" w:fill="FFFFFF"/>
          </w:tcPr>
          <w:p>
            <w:pPr>
              <w:jc w:val="left"/>
            </w:pPr>
            <w:r>
              <w:rPr>
                <w:rFonts w:ascii="Calibri" w:hAnsi="Calibri"/>
                <w:b/>
                <w:i w:val="0"/>
                <w:color w:val="0A2540"/>
                <w:sz w:val="18"/>
              </w:rPr>
              <w:t>IEC 60072 (all parts)</w:t>
            </w:r>
          </w:p>
        </w:tc>
        <w:tc>
          <w:tcPr>
            <w:tcW w:type="dxa" w:w="4680"/>
            <w:shd w:val="clear" w:color="auto" w:fill="FFFFFF"/>
          </w:tcPr>
          <w:p>
            <w:pPr>
              <w:jc w:val="left"/>
            </w:pPr>
            <w:r>
              <w:rPr>
                <w:rFonts w:ascii="Calibri" w:hAnsi="Calibri"/>
                <w:b w:val="0"/>
                <w:i w:val="0"/>
                <w:sz w:val="18"/>
              </w:rPr>
              <w:t>Dimensions and output series for rotating electrical machines — preferred kW series the motor rung is selected from (rating basis: BS EN 60034-1:2010)</w:t>
            </w:r>
          </w:p>
        </w:tc>
      </w:tr>
      <w:tr>
        <w:tc>
          <w:tcPr>
            <w:tcW w:type="dxa" w:w="4680"/>
            <w:shd w:val="clear" w:color="auto" w:fill="EFF9FC"/>
          </w:tcPr>
          <w:p>
            <w:pPr>
              <w:jc w:val="left"/>
            </w:pPr>
            <w:r>
              <w:rPr>
                <w:rFonts w:ascii="Calibri" w:hAnsi="Calibri"/>
                <w:b/>
                <w:i w:val="0"/>
                <w:color w:val="0A2540"/>
                <w:sz w:val="18"/>
              </w:rPr>
              <w:t>CIBSE AM10 (2005), Natural ventilation, Eq 4.12 (p. 45; PDF p. 51 of the ref copy)</w:t>
            </w:r>
          </w:p>
        </w:tc>
        <w:tc>
          <w:tcPr>
            <w:tcW w:type="dxa" w:w="4680"/>
            <w:shd w:val="clear" w:color="auto" w:fill="EFF9FC"/>
          </w:tcPr>
          <w:p>
            <w:pPr>
              <w:jc w:val="left"/>
            </w:pPr>
            <w:r>
              <w:rPr>
                <w:rFonts w:ascii="Calibri" w:hAnsi="Calibri"/>
                <w:b w:val="0"/>
                <w:i w:val="0"/>
                <w:sz w:val="18"/>
              </w:rPr>
              <w:t>Stack-effect free-area back-up check (internal temperature T_I in the buoyancy term) &amp; the 0.6 sharp-opening Cd the louver value is derated from</w:t>
            </w:r>
          </w:p>
        </w:tc>
      </w:tr>
      <w:tr>
        <w:tc>
          <w:tcPr>
            <w:tcW w:type="dxa" w:w="4680"/>
            <w:shd w:val="clear" w:color="auto" w:fill="FFFFFF"/>
          </w:tcPr>
          <w:p>
            <w:pPr>
              <w:jc w:val="left"/>
            </w:pPr>
            <w:r>
              <w:rPr>
                <w:rFonts w:ascii="Calibri" w:hAnsi="Calibri"/>
                <w:b/>
                <w:i w:val="0"/>
                <w:color w:val="0A2540"/>
                <w:sz w:val="18"/>
              </w:rPr>
              <w:t>ICAO Doc 7488 / US Std Atmosphere 1976</w:t>
            </w:r>
          </w:p>
        </w:tc>
        <w:tc>
          <w:tcPr>
            <w:tcW w:type="dxa" w:w="4680"/>
            <w:shd w:val="clear" w:color="auto" w:fill="FFFFFF"/>
          </w:tcPr>
          <w:p>
            <w:pPr>
              <w:jc w:val="left"/>
            </w:pPr>
            <w:r>
              <w:rPr>
                <w:rFonts w:ascii="Calibri" w:hAnsi="Calibri"/>
                <w:b w:val="0"/>
                <w:i w:val="0"/>
                <w:sz w:val="18"/>
              </w:rPr>
              <w:t>ISA pressure ratio — altitude correction of the Fig G.52 basis, and the standard air density of the comparison line</w:t>
            </w:r>
          </w:p>
        </w:tc>
      </w:tr>
    </w:tbl>
    <w:p/>
    <w:p>
      <w:pPr>
        <w:pStyle w:val="Heading1"/>
        <w:pBdr>
          <w:bottom w:val="single" w:sz="6" w:space="4" w:color="0A2540"/>
        </w:pBdr>
      </w:pPr>
      <w:r>
        <w:rPr>
          <w:rFonts w:ascii="Calibri" w:hAnsi="Calibri"/>
          <w:b/>
          <w:color w:val="0A2540"/>
          <w:sz w:val="26"/>
        </w:rPr>
        <w:t>2.  Design Inputs</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Ventilation path</w:t>
            </w:r>
          </w:p>
        </w:tc>
        <w:tc>
          <w:tcPr>
            <w:tcW w:type="dxa" w:w="4680"/>
            <w:shd w:val="clear" w:color="auto" w:fill="EFF9FC"/>
          </w:tcPr>
          <w:p>
            <w:pPr>
              <w:jc w:val="left"/>
            </w:pPr>
            <w:r>
              <w:rPr>
                <w:rFonts w:ascii="Calibri" w:hAnsi="Calibri"/>
                <w:b/>
                <w:i w:val="0"/>
                <w:color w:val="0B3D91"/>
                <w:sz w:val="18"/>
              </w:rPr>
              <w:t>Basement — forced mechanical ventilation</w:t>
            </w:r>
          </w:p>
        </w:tc>
      </w:tr>
      <w:tr>
        <w:tc>
          <w:tcPr>
            <w:tcW w:type="dxa" w:w="4680"/>
            <w:shd w:val="clear" w:color="auto" w:fill="FFFFFF"/>
          </w:tcPr>
          <w:p>
            <w:pPr>
              <w:jc w:val="left"/>
            </w:pPr>
            <w:r>
              <w:rPr>
                <w:rFonts w:ascii="Calibri" w:hAnsi="Calibri"/>
                <w:b w:val="0"/>
                <w:i w:val="0"/>
                <w:sz w:val="18"/>
              </w:rPr>
              <w:t>Supply air temperature</w:t>
            </w:r>
          </w:p>
        </w:tc>
        <w:tc>
          <w:tcPr>
            <w:tcW w:type="dxa" w:w="4680"/>
            <w:shd w:val="clear" w:color="auto" w:fill="FFFFFF"/>
          </w:tcPr>
          <w:p>
            <w:pPr>
              <w:jc w:val="left"/>
            </w:pPr>
            <w:r>
              <w:rPr>
                <w:rFonts w:ascii="Calibri" w:hAnsi="Calibri"/>
                <w:b/>
                <w:i w:val="0"/>
                <w:color w:val="0B3D91"/>
                <w:sz w:val="18"/>
              </w:rPr>
              <w:t>48.0 °C</w:t>
            </w:r>
          </w:p>
        </w:tc>
      </w:tr>
      <w:tr>
        <w:tc>
          <w:tcPr>
            <w:tcW w:type="dxa" w:w="4680"/>
            <w:shd w:val="clear" w:color="auto" w:fill="EFF9FC"/>
          </w:tcPr>
          <w:p>
            <w:pPr>
              <w:jc w:val="left"/>
            </w:pPr>
            <w:r>
              <w:rPr>
                <w:rFonts w:ascii="Calibri" w:hAnsi="Calibri"/>
                <w:b w:val="0"/>
                <w:i w:val="0"/>
                <w:sz w:val="18"/>
              </w:rPr>
              <w:t>Max interior temperature</w:t>
            </w:r>
          </w:p>
        </w:tc>
        <w:tc>
          <w:tcPr>
            <w:tcW w:type="dxa" w:w="4680"/>
            <w:shd w:val="clear" w:color="auto" w:fill="EFF9FC"/>
          </w:tcPr>
          <w:p>
            <w:pPr>
              <w:jc w:val="left"/>
            </w:pPr>
            <w:r>
              <w:rPr>
                <w:rFonts w:ascii="Calibri" w:hAnsi="Calibri"/>
                <w:b/>
                <w:i w:val="0"/>
                <w:color w:val="0B3D91"/>
                <w:sz w:val="18"/>
              </w:rPr>
              <w:t>55.0 °C</w:t>
            </w:r>
          </w:p>
        </w:tc>
      </w:tr>
      <w:tr>
        <w:tc>
          <w:tcPr>
            <w:tcW w:type="dxa" w:w="4680"/>
            <w:shd w:val="clear" w:color="auto" w:fill="FFFFFF"/>
          </w:tcPr>
          <w:p>
            <w:pPr>
              <w:jc w:val="left"/>
            </w:pPr>
            <w:r>
              <w:rPr>
                <w:rFonts w:ascii="Calibri" w:hAnsi="Calibri"/>
                <w:b w:val="0"/>
                <w:i w:val="0"/>
                <w:sz w:val="18"/>
              </w:rPr>
              <w:t>Design temperature rise dT</w:t>
            </w:r>
          </w:p>
        </w:tc>
        <w:tc>
          <w:tcPr>
            <w:tcW w:type="dxa" w:w="4680"/>
            <w:shd w:val="clear" w:color="auto" w:fill="FFFFFF"/>
          </w:tcPr>
          <w:p>
            <w:pPr>
              <w:jc w:val="left"/>
            </w:pPr>
            <w:r>
              <w:rPr>
                <w:rFonts w:ascii="Calibri" w:hAnsi="Calibri"/>
                <w:b/>
                <w:i w:val="0"/>
                <w:color w:val="0B3D91"/>
                <w:sz w:val="18"/>
              </w:rPr>
              <w:t>7.0 K</w:t>
            </w:r>
          </w:p>
        </w:tc>
      </w:tr>
      <w:tr>
        <w:tc>
          <w:tcPr>
            <w:tcW w:type="dxa" w:w="4680"/>
            <w:shd w:val="clear" w:color="auto" w:fill="EFF9FC"/>
          </w:tcPr>
          <w:p>
            <w:pPr>
              <w:jc w:val="left"/>
            </w:pPr>
            <w:r>
              <w:rPr>
                <w:rFonts w:ascii="Calibri" w:hAnsi="Calibri"/>
                <w:b w:val="0"/>
                <w:i w:val="0"/>
                <w:sz w:val="18"/>
              </w:rPr>
              <w:t>Site altitude</w:t>
            </w:r>
          </w:p>
        </w:tc>
        <w:tc>
          <w:tcPr>
            <w:tcW w:type="dxa" w:w="4680"/>
            <w:shd w:val="clear" w:color="auto" w:fill="EFF9FC"/>
          </w:tcPr>
          <w:p>
            <w:pPr>
              <w:jc w:val="left"/>
            </w:pPr>
            <w:r>
              <w:rPr>
                <w:rFonts w:ascii="Calibri" w:hAnsi="Calibri"/>
                <w:b/>
                <w:i w:val="0"/>
                <w:color w:val="0B3D91"/>
                <w:sz w:val="18"/>
              </w:rPr>
              <w:t>0.00 m</w:t>
            </w:r>
          </w:p>
        </w:tc>
      </w:tr>
      <w:tr>
        <w:tc>
          <w:tcPr>
            <w:tcW w:type="dxa" w:w="4680"/>
            <w:shd w:val="clear" w:color="auto" w:fill="FFFFFF"/>
          </w:tcPr>
          <w:p>
            <w:pPr>
              <w:jc w:val="left"/>
            </w:pPr>
            <w:r>
              <w:rPr>
                <w:rFonts w:ascii="Calibri" w:hAnsi="Calibri"/>
                <w:b w:val="0"/>
                <w:i w:val="0"/>
                <w:sz w:val="18"/>
              </w:rPr>
              <w:t>Room height (bounds the outlet centre height)</w:t>
            </w:r>
          </w:p>
        </w:tc>
        <w:tc>
          <w:tcPr>
            <w:tcW w:type="dxa" w:w="4680"/>
            <w:shd w:val="clear" w:color="auto" w:fill="FFFFFF"/>
          </w:tcPr>
          <w:p>
            <w:pPr>
              <w:jc w:val="left"/>
            </w:pPr>
            <w:r>
              <w:rPr>
                <w:rFonts w:ascii="Calibri" w:hAnsi="Calibri"/>
                <w:b/>
                <w:i w:val="0"/>
                <w:color w:val="0B3D91"/>
                <w:sz w:val="18"/>
              </w:rPr>
              <w:t>4.50 m</w:t>
            </w:r>
          </w:p>
        </w:tc>
      </w:tr>
      <w:tr>
        <w:tc>
          <w:tcPr>
            <w:tcW w:type="dxa" w:w="4680"/>
            <w:shd w:val="clear" w:color="auto" w:fill="EFF9FC"/>
          </w:tcPr>
          <w:p>
            <w:pPr>
              <w:jc w:val="left"/>
            </w:pPr>
            <w:r>
              <w:rPr>
                <w:rFonts w:ascii="Calibri" w:hAnsi="Calibri"/>
                <w:b w:val="0"/>
                <w:i w:val="0"/>
                <w:sz w:val="18"/>
              </w:rPr>
              <w:t>Inlet / outlet centre height</w:t>
            </w:r>
          </w:p>
        </w:tc>
        <w:tc>
          <w:tcPr>
            <w:tcW w:type="dxa" w:w="4680"/>
            <w:shd w:val="clear" w:color="auto" w:fill="EFF9FC"/>
          </w:tcPr>
          <w:p>
            <w:pPr>
              <w:jc w:val="left"/>
            </w:pPr>
            <w:r>
              <w:rPr>
                <w:rFonts w:ascii="Calibri" w:hAnsi="Calibri"/>
                <w:b/>
                <w:i w:val="0"/>
                <w:color w:val="0B3D91"/>
                <w:sz w:val="18"/>
              </w:rPr>
              <w:t>0.60 m / 3.90 m</w:t>
            </w:r>
          </w:p>
        </w:tc>
      </w:tr>
      <w:tr>
        <w:tc>
          <w:tcPr>
            <w:tcW w:type="dxa" w:w="4680"/>
            <w:shd w:val="clear" w:color="auto" w:fill="FFFFFF"/>
          </w:tcPr>
          <w:p>
            <w:pPr>
              <w:jc w:val="left"/>
            </w:pPr>
            <w:r>
              <w:rPr>
                <w:rFonts w:ascii="Calibri" w:hAnsi="Calibri"/>
                <w:b w:val="0"/>
                <w:i w:val="0"/>
                <w:sz w:val="18"/>
              </w:rPr>
              <w:t>Stack height H</w:t>
            </w:r>
          </w:p>
        </w:tc>
        <w:tc>
          <w:tcPr>
            <w:tcW w:type="dxa" w:w="4680"/>
            <w:shd w:val="clear" w:color="auto" w:fill="FFFFFF"/>
          </w:tcPr>
          <w:p>
            <w:pPr>
              <w:jc w:val="left"/>
            </w:pPr>
            <w:r>
              <w:rPr>
                <w:rFonts w:ascii="Calibri" w:hAnsi="Calibri"/>
                <w:b/>
                <w:i w:val="0"/>
                <w:color w:val="0B3D91"/>
                <w:sz w:val="18"/>
              </w:rPr>
              <w:t>3.30 m</w:t>
            </w:r>
          </w:p>
        </w:tc>
      </w:tr>
      <w:tr>
        <w:tc>
          <w:tcPr>
            <w:tcW w:type="dxa" w:w="4680"/>
            <w:shd w:val="clear" w:color="auto" w:fill="EFF9FC"/>
          </w:tcPr>
          <w:p>
            <w:pPr>
              <w:jc w:val="left"/>
            </w:pPr>
            <w:r>
              <w:rPr>
                <w:rFonts w:ascii="Calibri" w:hAnsi="Calibri"/>
                <w:b w:val="0"/>
                <w:i w:val="0"/>
                <w:sz w:val="18"/>
              </w:rPr>
              <w:t>Room total rating</w:t>
            </w:r>
          </w:p>
        </w:tc>
        <w:tc>
          <w:tcPr>
            <w:tcW w:type="dxa" w:w="4680"/>
            <w:shd w:val="clear" w:color="auto" w:fill="EFF9FC"/>
          </w:tcPr>
          <w:p>
            <w:pPr>
              <w:jc w:val="left"/>
            </w:pPr>
            <w:r>
              <w:rPr>
                <w:rFonts w:ascii="Calibri" w:hAnsi="Calibri"/>
                <w:b/>
                <w:i w:val="0"/>
                <w:color w:val="0B3D91"/>
                <w:sz w:val="18"/>
              </w:rPr>
              <w:t>3000 kVA</w:t>
            </w:r>
          </w:p>
        </w:tc>
      </w:tr>
      <w:tr>
        <w:tc>
          <w:tcPr>
            <w:tcW w:type="dxa" w:w="4680"/>
            <w:shd w:val="clear" w:color="auto" w:fill="FFFFFF"/>
          </w:tcPr>
          <w:p>
            <w:pPr>
              <w:jc w:val="left"/>
            </w:pPr>
            <w:r>
              <w:rPr>
                <w:rFonts w:ascii="Calibri" w:hAnsi="Calibri"/>
                <w:b w:val="0"/>
                <w:i w:val="0"/>
                <w:sz w:val="18"/>
              </w:rPr>
              <w:t>Heat-loss basis</w:t>
            </w:r>
          </w:p>
        </w:tc>
        <w:tc>
          <w:tcPr>
            <w:tcW w:type="dxa" w:w="4680"/>
            <w:shd w:val="clear" w:color="auto" w:fill="FFFFFF"/>
          </w:tcPr>
          <w:p>
            <w:pPr>
              <w:jc w:val="left"/>
            </w:pPr>
            <w:r>
              <w:rPr>
                <w:rFonts w:ascii="Calibri" w:hAnsi="Calibri"/>
                <w:b/>
                <w:i w:val="0"/>
                <w:color w:val="0B3D91"/>
                <w:sz w:val="18"/>
              </w:rPr>
              <w:t>Authority preset (1.29 % kVA)</w:t>
            </w:r>
          </w:p>
        </w:tc>
      </w:tr>
      <w:tr>
        <w:tc>
          <w:tcPr>
            <w:tcW w:type="dxa" w:w="4680"/>
            <w:shd w:val="clear" w:color="auto" w:fill="EFF9FC"/>
          </w:tcPr>
          <w:p>
            <w:pPr>
              <w:jc w:val="left"/>
            </w:pPr>
            <w:r>
              <w:rPr>
                <w:rFonts w:ascii="Calibri" w:hAnsi="Calibri"/>
                <w:b w:val="0"/>
                <w:i w:val="0"/>
                <w:sz w:val="18"/>
              </w:rPr>
              <w:t>Intake/exhaust separation</w:t>
            </w:r>
          </w:p>
        </w:tc>
        <w:tc>
          <w:tcPr>
            <w:tcW w:type="dxa" w:w="4680"/>
            <w:shd w:val="clear" w:color="auto" w:fill="EFF9FC"/>
          </w:tcPr>
          <w:p>
            <w:pPr>
              <w:jc w:val="left"/>
            </w:pPr>
            <w:r>
              <w:rPr>
                <w:rFonts w:ascii="Calibri" w:hAnsi="Calibri"/>
                <w:b/>
                <w:i w:val="0"/>
                <w:color w:val="0B3D91"/>
                <w:sz w:val="18"/>
              </w:rPr>
              <w:t>12.00 m</w:t>
            </w:r>
          </w:p>
        </w:tc>
      </w:tr>
    </w:tbl>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Transformer</w:t>
            </w:r>
          </w:p>
        </w:tc>
        <w:tc>
          <w:tcPr>
            <w:tcW w:type="dxa" w:w="4680"/>
            <w:shd w:val="clear" w:color="auto" w:fill="0A2540"/>
          </w:tcPr>
          <w:p>
            <w:pPr>
              <w:jc w:val="center"/>
            </w:pPr>
            <w:r>
              <w:rPr>
                <w:rFonts w:ascii="Calibri" w:hAnsi="Calibri"/>
                <w:b/>
                <w:i w:val="0"/>
                <w:color w:val="FFFFFF"/>
                <w:sz w:val="18"/>
              </w:rPr>
              <w:t>Rating &amp; heat loss</w:t>
            </w:r>
          </w:p>
        </w:tc>
      </w:tr>
      <w:tr>
        <w:tc>
          <w:tcPr>
            <w:tcW w:type="dxa" w:w="4680"/>
            <w:shd w:val="clear" w:color="auto" w:fill="EFF9FC"/>
          </w:tcPr>
          <w:p>
            <w:pPr>
              <w:jc w:val="left"/>
            </w:pPr>
            <w:r>
              <w:rPr>
                <w:rFonts w:ascii="Calibri" w:hAnsi="Calibri"/>
                <w:b/>
                <w:i w:val="0"/>
                <w:color w:val="0A2540"/>
                <w:sz w:val="18"/>
              </w:rPr>
              <w:t>SS01-TX1</w:t>
            </w:r>
          </w:p>
        </w:tc>
        <w:tc>
          <w:tcPr>
            <w:tcW w:type="dxa" w:w="4680"/>
            <w:shd w:val="clear" w:color="auto" w:fill="EFF9FC"/>
          </w:tcPr>
          <w:p>
            <w:pPr>
              <w:jc w:val="left"/>
            </w:pPr>
            <w:r>
              <w:rPr>
                <w:rFonts w:ascii="Calibri" w:hAnsi="Calibri"/>
                <w:b w:val="0"/>
                <w:i w:val="0"/>
                <w:sz w:val="18"/>
              </w:rPr>
              <w:t>1500 kVA | x1 | authority preset heat 19.35 kW</w:t>
            </w:r>
          </w:p>
        </w:tc>
      </w:tr>
      <w:tr>
        <w:tc>
          <w:tcPr>
            <w:tcW w:type="dxa" w:w="4680"/>
            <w:shd w:val="clear" w:color="auto" w:fill="FFFFFF"/>
          </w:tcPr>
          <w:p>
            <w:pPr>
              <w:jc w:val="left"/>
            </w:pPr>
            <w:r>
              <w:rPr>
                <w:rFonts w:ascii="Calibri" w:hAnsi="Calibri"/>
                <w:b/>
                <w:i w:val="0"/>
                <w:color w:val="0A2540"/>
                <w:sz w:val="18"/>
              </w:rPr>
              <w:t>SS01-TX2</w:t>
            </w:r>
          </w:p>
        </w:tc>
        <w:tc>
          <w:tcPr>
            <w:tcW w:type="dxa" w:w="4680"/>
            <w:shd w:val="clear" w:color="auto" w:fill="FFFFFF"/>
          </w:tcPr>
          <w:p>
            <w:pPr>
              <w:jc w:val="left"/>
            </w:pPr>
            <w:r>
              <w:rPr>
                <w:rFonts w:ascii="Calibri" w:hAnsi="Calibri"/>
                <w:b w:val="0"/>
                <w:i w:val="0"/>
                <w:sz w:val="18"/>
              </w:rPr>
              <w:t>1500 kVA | x1 | authority preset heat 19.35 kW</w:t>
            </w:r>
          </w:p>
        </w:tc>
      </w:tr>
    </w:tbl>
    <w:p/>
    <w:p>
      <w:pPr>
        <w:pStyle w:val="Heading1"/>
        <w:pBdr>
          <w:bottom w:val="single" w:sz="6" w:space="4" w:color="0A2540"/>
        </w:pBdr>
      </w:pPr>
      <w:r>
        <w:rPr>
          <w:rFonts w:ascii="Calibri" w:hAnsi="Calibri"/>
          <w:b/>
          <w:color w:val="0A2540"/>
          <w:sz w:val="26"/>
        </w:rPr>
        <w:t>3.  Design Assumptions</w:t>
      </w:r>
    </w:p>
    <w:p>
      <w:pPr>
        <w:pStyle w:val="ListBullet"/>
      </w:pPr>
      <w:r>
        <w:rPr>
          <w:rFonts w:ascii="Calibri" w:hAnsi="Calibri"/>
          <w:color w:val="374151"/>
          <w:sz w:val="18"/>
        </w:rPr>
        <w:t>Heat-loss basis: authority preset loss = 1.29 % of rated kVA (AHJ default - verify against the local AHJ requirement).</w:t>
      </w:r>
    </w:p>
    <w:p>
      <w:pPr>
        <w:pStyle w:val="ListBullet"/>
      </w:pPr>
      <w:r>
        <w:rPr>
          <w:rFonts w:ascii="Calibri" w:hAnsi="Calibri"/>
          <w:color w:val="374151"/>
          <w:sz w:val="18"/>
        </w:rPr>
        <w:t>Airflow basis: Figure G.52 forced-ventilation nomogram, as measured from the figure, rho.cp = 1125 J/(m3.K) at sea level, altitude-corrected on the ISA pressure ratio. The figure is a nomogram, so it fixes the PRODUCT of density and specific heat directly. Comparison only: the standard-air physics value (standard air rho = 1.225 kg/m3 at ISA 15 degC x cp = 1005 J/(kg.K) = 1231 J/(m3.K) at sea level) asks for 8.6 % less air and is not used; at the 48 degC intake the room-air density is about 1.10 kg/m3, so selecting the fans on the hot-intake volume remains the conservative option.</w:t>
      </w:r>
    </w:p>
    <w:p>
      <w:pPr>
        <w:pStyle w:val="ListBullet"/>
      </w:pPr>
      <w:r>
        <w:rPr>
          <w:rFonts w:ascii="Calibri" w:hAnsi="Calibri"/>
          <w:color w:val="374151"/>
          <w:sz w:val="18"/>
        </w:rPr>
        <w:t>Prescriptive grill area is the TOTAL free area (sum of inlet + outlet openings). The defaults are two discrete points, each for ONE transformer (14.9 m2 for a 1000 kVA transformer, 18.6 m2 for a 1500 kVA transformer; AHJ defaults); the engine applies them per transformer and sums over the transformer rows. A rating other than the two anchors is interpolated or extrapolated PER UNIT by the tool and carries an AHJ-confirmation flag.</w:t>
      </w:r>
    </w:p>
    <w:p>
      <w:pPr>
        <w:pStyle w:val="ListBullet"/>
      </w:pPr>
      <w:r>
        <w:rPr>
          <w:rFonts w:ascii="Calibri" w:hAnsi="Calibri"/>
          <w:color w:val="374151"/>
          <w:sz w:val="18"/>
        </w:rPr>
        <w:t>Natural-convection back-up uses an effective louver discharge coefficient Cd = 0.35 (an engineering derate of the CIBSE AM10 p. 45 (PDF p. 51) sharp-opening 0.6; AM10 prints no louver Cd) and an outlet/inlet area ratio of 1.10 (engineering practice, no cited document); the buoyancy term divides by the internal temperature T_I = T_max as AM10 Eq 4.12 prints it.</w:t>
      </w:r>
    </w:p>
    <w:p>
      <w:pPr>
        <w:pStyle w:val="ListBullet"/>
      </w:pPr>
      <w:r>
        <w:rPr>
          <w:rFonts w:ascii="Calibri" w:hAnsi="Calibri"/>
          <w:color w:val="374151"/>
          <w:sz w:val="18"/>
        </w:rPr>
        <w:t>The natural-convection free area is a supplementary engineering check, not a mandated method; taking the governing area as the larger of it and the prescriptive minimum can only increase the required area (conservative).</w:t>
      </w:r>
    </w:p>
    <w:p>
      <w:pPr>
        <w:pStyle w:val="ListBullet"/>
      </w:pPr>
      <w:r>
        <w:rPr>
          <w:rFonts w:ascii="Calibri" w:hAnsi="Calibri"/>
          <w:color w:val="374151"/>
          <w:sz w:val="18"/>
        </w:rPr>
        <w:t>AHJ basis: Authority preset transformer heat loss 1.29 % of kVA (default)</w:t>
      </w:r>
    </w:p>
    <w:p>
      <w:pPr>
        <w:pStyle w:val="ListBullet"/>
      </w:pPr>
      <w:r>
        <w:rPr>
          <w:rFonts w:ascii="Calibri" w:hAnsi="Calibri"/>
          <w:color w:val="374151"/>
          <w:sz w:val="18"/>
        </w:rPr>
        <w:t>AHJ basis: Design outside (supply) air temperature 48 degC (default)</w:t>
      </w:r>
    </w:p>
    <w:p>
      <w:pPr>
        <w:pStyle w:val="ListBullet"/>
      </w:pPr>
      <w:r>
        <w:rPr>
          <w:rFonts w:ascii="Calibri" w:hAnsi="Calibri"/>
          <w:color w:val="374151"/>
          <w:sz w:val="18"/>
        </w:rPr>
        <w:t>AHJ basis: Maximum interior air temperature 55 degC (default)</w:t>
      </w:r>
    </w:p>
    <w:p>
      <w:pPr>
        <w:pStyle w:val="ListBullet"/>
      </w:pPr>
      <w:r>
        <w:rPr>
          <w:rFonts w:ascii="Calibri" w:hAnsi="Calibri"/>
          <w:color w:val="374151"/>
          <w:sz w:val="18"/>
        </w:rPr>
        <w:t>AHJ basis: Prescriptive grill area - lower anchor rating 1000 kVA (default)</w:t>
      </w:r>
    </w:p>
    <w:p>
      <w:pPr>
        <w:pStyle w:val="ListBullet"/>
      </w:pPr>
      <w:r>
        <w:rPr>
          <w:rFonts w:ascii="Calibri" w:hAnsi="Calibri"/>
          <w:color w:val="374151"/>
          <w:sz w:val="18"/>
        </w:rPr>
        <w:t>AHJ basis: Prescriptive total grill area at the lower anchor 14.9 m2 (default)</w:t>
      </w:r>
    </w:p>
    <w:p>
      <w:pPr>
        <w:pStyle w:val="ListBullet"/>
      </w:pPr>
      <w:r>
        <w:rPr>
          <w:rFonts w:ascii="Calibri" w:hAnsi="Calibri"/>
          <w:color w:val="374151"/>
          <w:sz w:val="18"/>
        </w:rPr>
        <w:t>AHJ basis: Prescriptive grill area - upper anchor rating 1500 kVA (default)</w:t>
      </w:r>
    </w:p>
    <w:p>
      <w:pPr>
        <w:pStyle w:val="ListBullet"/>
      </w:pPr>
      <w:r>
        <w:rPr>
          <w:rFonts w:ascii="Calibri" w:hAnsi="Calibri"/>
          <w:color w:val="374151"/>
          <w:sz w:val="18"/>
        </w:rPr>
        <w:t>AHJ basis: Prescriptive total grill area at the upper anchor 18.6 m2 (default)</w:t>
      </w:r>
    </w:p>
    <w:p>
      <w:pPr>
        <w:pStyle w:val="ListBullet"/>
      </w:pPr>
      <w:r>
        <w:rPr>
          <w:rFonts w:ascii="Calibri" w:hAnsi="Calibri"/>
          <w:color w:val="374151"/>
          <w:sz w:val="18"/>
        </w:rPr>
        <w:t>AHJ basis: Minimum intake / exhaust louvre separation 10 m (default)</w:t>
      </w:r>
    </w:p>
    <w:p>
      <w:pPr>
        <w:pStyle w:val="Heading1"/>
        <w:pBdr>
          <w:bottom w:val="single" w:sz="6" w:space="4" w:color="0A2540"/>
        </w:pBdr>
      </w:pPr>
      <w:r>
        <w:rPr>
          <w:rFonts w:ascii="Calibri" w:hAnsi="Calibri"/>
          <w:b/>
          <w:color w:val="0A2540"/>
          <w:sz w:val="26"/>
        </w:rPr>
        <w:t>4.  Step-by-Step Calculation</w:t>
      </w:r>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  Total heat to dissipate (authority preset loss)</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P_loss = Σ (1.29% · kVA)·n</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1.29% · ΣkVA(3000) = 38.70 kW</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38.70 kW</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  Airflow basis — Figure G.52 forced-ventilation nomogram, as measured from the figure</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(ρ·cp)_G.52 = 1125 J/(m³·K) at sea level · (1−2.2558e-5·z)^5.25588</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z = 0 m → (ρ·cp) = 1125.0 J/(m³·K)</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1125.0 J/(m³·K)</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V = 3200·Q/ΔT with Q in kW. Comparison only, not the basis: the standard-air physics value ρ = 1.2250 kg/m³ · cp = 1005 J/(kg·K) = 1231 J/(m³·K) asks for 8.6 % LESS air; the hot room air is about 1.099 kg/m³ at 48 °C, so sizing the fans on the hot-intake volume stays the conservative option.</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  Required ventilation airflow (Fig G.52 nomogram, dϑ_L = ΔT ray)</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V = P_loss / ((ρ·cp)_G.52·ΔT),  ΔT = T_max − T_supply</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38700 / (1125.0·7.0) = 4.9143 m³/s = 17691 m³/h</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17691 m³/h</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4:  Prescriptive total grill free area (AHJ default anchors per transformer)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A_presc = Σ n·A(kVA),  A(kVA) = 14.9 + (18.6−14.9)/(1500−1000)·(kVA − 1000)</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1·A(1500) = 1·18.60 + 1·A(1500) = 1·18.60 → A_presc = 37.20 m²</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37.20 m²</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5:  Natural-convection back-up free area (CIBSE AM10 Eq 4.12 stack effect)</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A_eff = V / (Cd·√(2g·H·ΔT/T_I)), T_I = T_max [K]; A_in,A_out series; A = A_in+A_out</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Cd=0.35, H=3.30 m, ΔT=7.0 K, T_I=328.15 K → A_in=16.15, A_out=17.76, A_buoy=33.91 m²</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33.91 m²</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6:  Governing louver/grill total free area</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A_required = max(A_presc, A_buoy)</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max(37.20, 33.91) = 37.20 m²</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37.20 m²</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Prescriptive (AHJ default) governs.</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7:  Fan selection (per service: duty + standby)</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P_shaft = (V/n_duty)·ESP/(η_fan·1000); motor = next IEC 60072 rung ≥ P_shaft · sizing margin</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supply 2 duty +1 standby @ 8846 m³/h (2 x 8846 = 17692 &gt;= 17691 m³/h) → 1.024 kW shaft, 1.5 kW motor; exhaust 2+1 standby (2 x 8846 = 17692 &gt;= 17691 m³/h)</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17691 m³/h)</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Motor efficiency: supply IE2 82.8 % at 1.5 kW - BS EN 60034-30-1:2014 Table 5 (50 Hz, 4-pole); exhaust IE2 82.8 % at 1.5 kW - BS EN 60034-30-1:2014 Table 5 (50 Hz, 4-pole).</w:t>
            </w:r>
          </w:p>
        </w:tc>
      </w:tr>
    </w:tbl>
    <w:p/>
    <w:p>
      <w:pPr>
        <w:pStyle w:val="Heading1"/>
        <w:pBdr>
          <w:bottom w:val="single" w:sz="6" w:space="4" w:color="0A2540"/>
        </w:pBdr>
      </w:pPr>
      <w:r>
        <w:rPr>
          <w:rFonts w:ascii="Calibri" w:hAnsi="Calibri"/>
          <w:b/>
          <w:color w:val="0A2540"/>
          <w:sz w:val="26"/>
        </w:rPr>
        <w:t>5.  Results</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Total heat to dissipate (full load)</w:t>
            </w:r>
          </w:p>
        </w:tc>
        <w:tc>
          <w:tcPr>
            <w:tcW w:type="dxa" w:w="4680"/>
            <w:shd w:val="clear" w:color="auto" w:fill="EFF9FC"/>
          </w:tcPr>
          <w:p>
            <w:pPr>
              <w:jc w:val="left"/>
            </w:pPr>
            <w:r>
              <w:rPr>
                <w:rFonts w:ascii="Calibri" w:hAnsi="Calibri"/>
                <w:b/>
                <w:i w:val="0"/>
                <w:color w:val="0B3D91"/>
                <w:sz w:val="18"/>
              </w:rPr>
              <w:t>38.70 kW</w:t>
            </w:r>
          </w:p>
        </w:tc>
      </w:tr>
      <w:tr>
        <w:tc>
          <w:tcPr>
            <w:tcW w:type="dxa" w:w="4680"/>
            <w:shd w:val="clear" w:color="auto" w:fill="FFFFFF"/>
          </w:tcPr>
          <w:p>
            <w:pPr>
              <w:jc w:val="left"/>
            </w:pPr>
            <w:r>
              <w:rPr>
                <w:rFonts w:ascii="Calibri" w:hAnsi="Calibri"/>
                <w:b w:val="0"/>
                <w:i w:val="0"/>
                <w:sz w:val="18"/>
              </w:rPr>
              <w:t>Required ventilation airflow</w:t>
            </w:r>
          </w:p>
        </w:tc>
        <w:tc>
          <w:tcPr>
            <w:tcW w:type="dxa" w:w="4680"/>
            <w:shd w:val="clear" w:color="auto" w:fill="FFFFFF"/>
          </w:tcPr>
          <w:p>
            <w:pPr>
              <w:jc w:val="left"/>
            </w:pPr>
            <w:r>
              <w:rPr>
                <w:rFonts w:ascii="Calibri" w:hAnsi="Calibri"/>
                <w:b/>
                <w:i w:val="0"/>
                <w:color w:val="0B3D91"/>
                <w:sz w:val="18"/>
              </w:rPr>
              <w:t>17,691 m³/h</w:t>
            </w:r>
          </w:p>
        </w:tc>
      </w:tr>
      <w:tr>
        <w:tc>
          <w:tcPr>
            <w:tcW w:type="dxa" w:w="4680"/>
            <w:shd w:val="clear" w:color="auto" w:fill="EFF9FC"/>
          </w:tcPr>
          <w:p>
            <w:pPr>
              <w:jc w:val="left"/>
            </w:pPr>
            <w:r>
              <w:rPr>
                <w:rFonts w:ascii="Calibri" w:hAnsi="Calibri"/>
                <w:b w:val="0"/>
                <w:i w:val="0"/>
                <w:sz w:val="18"/>
              </w:rPr>
              <w:t>Prescriptive grill area (AHJ-default anchors per transformer)</w:t>
            </w:r>
          </w:p>
        </w:tc>
        <w:tc>
          <w:tcPr>
            <w:tcW w:type="dxa" w:w="4680"/>
            <w:shd w:val="clear" w:color="auto" w:fill="EFF9FC"/>
          </w:tcPr>
          <w:p>
            <w:pPr>
              <w:jc w:val="left"/>
            </w:pPr>
            <w:r>
              <w:rPr>
                <w:rFonts w:ascii="Calibri" w:hAnsi="Calibri"/>
                <w:b/>
                <w:i w:val="0"/>
                <w:color w:val="0B3D91"/>
                <w:sz w:val="18"/>
              </w:rPr>
              <w:t>37.20 m²</w:t>
            </w:r>
          </w:p>
        </w:tc>
      </w:tr>
      <w:tr>
        <w:tc>
          <w:tcPr>
            <w:tcW w:type="dxa" w:w="4680"/>
            <w:shd w:val="clear" w:color="auto" w:fill="FFFFFF"/>
          </w:tcPr>
          <w:p>
            <w:pPr>
              <w:jc w:val="left"/>
            </w:pPr>
            <w:r>
              <w:rPr>
                <w:rFonts w:ascii="Calibri" w:hAnsi="Calibri"/>
                <w:b w:val="0"/>
                <w:i w:val="0"/>
                <w:sz w:val="18"/>
              </w:rPr>
              <w:t>Natural-convection free area (CIBSE AM10)</w:t>
            </w:r>
          </w:p>
        </w:tc>
        <w:tc>
          <w:tcPr>
            <w:tcW w:type="dxa" w:w="4680"/>
            <w:shd w:val="clear" w:color="auto" w:fill="FFFFFF"/>
          </w:tcPr>
          <w:p>
            <w:pPr>
              <w:jc w:val="left"/>
            </w:pPr>
            <w:r>
              <w:rPr>
                <w:rFonts w:ascii="Calibri" w:hAnsi="Calibri"/>
                <w:b/>
                <w:i w:val="0"/>
                <w:color w:val="0B3D91"/>
                <w:sz w:val="18"/>
              </w:rPr>
              <w:t>33.91 m²</w:t>
            </w:r>
          </w:p>
        </w:tc>
      </w:tr>
      <w:tr>
        <w:tc>
          <w:tcPr>
            <w:tcW w:type="dxa" w:w="4680"/>
            <w:shd w:val="clear" w:color="auto" w:fill="EFF9FC"/>
          </w:tcPr>
          <w:p>
            <w:pPr>
              <w:jc w:val="left"/>
            </w:pPr>
            <w:r>
              <w:rPr>
                <w:rFonts w:ascii="Calibri" w:hAnsi="Calibri"/>
                <w:b w:val="0"/>
                <w:i w:val="0"/>
                <w:sz w:val="18"/>
              </w:rPr>
              <w:t xml:space="preserve">   ... inlet / outlet split</w:t>
            </w:r>
          </w:p>
        </w:tc>
        <w:tc>
          <w:tcPr>
            <w:tcW w:type="dxa" w:w="4680"/>
            <w:shd w:val="clear" w:color="auto" w:fill="EFF9FC"/>
          </w:tcPr>
          <w:p>
            <w:pPr>
              <w:jc w:val="left"/>
            </w:pPr>
            <w:r>
              <w:rPr>
                <w:rFonts w:ascii="Calibri" w:hAnsi="Calibri"/>
                <w:b/>
                <w:i w:val="0"/>
                <w:color w:val="0B3D91"/>
                <w:sz w:val="18"/>
              </w:rPr>
              <w:t>16.15 m² / 17.76 m²</w:t>
            </w:r>
          </w:p>
        </w:tc>
      </w:tr>
      <w:tr>
        <w:tc>
          <w:tcPr>
            <w:tcW w:type="dxa" w:w="4680"/>
            <w:shd w:val="clear" w:color="auto" w:fill="FFFFFF"/>
          </w:tcPr>
          <w:p>
            <w:pPr>
              <w:jc w:val="left"/>
            </w:pPr>
            <w:r>
              <w:rPr>
                <w:rFonts w:ascii="Calibri" w:hAnsi="Calibri"/>
                <w:b w:val="0"/>
                <w:i w:val="0"/>
                <w:sz w:val="18"/>
              </w:rPr>
              <w:t>GOVERNING louver free area</w:t>
            </w:r>
          </w:p>
        </w:tc>
        <w:tc>
          <w:tcPr>
            <w:tcW w:type="dxa" w:w="4680"/>
            <w:shd w:val="clear" w:color="auto" w:fill="FFFFFF"/>
          </w:tcPr>
          <w:p>
            <w:pPr>
              <w:jc w:val="left"/>
            </w:pPr>
            <w:r>
              <w:rPr>
                <w:rFonts w:ascii="Calibri" w:hAnsi="Calibri"/>
                <w:b/>
                <w:i w:val="0"/>
                <w:color w:val="0B3D91"/>
                <w:sz w:val="18"/>
              </w:rPr>
              <w:t>37.20 m²  (prescriptive (AHJ default) governs)</w:t>
            </w:r>
          </w:p>
        </w:tc>
      </w:tr>
    </w:tbl>
    <w:p/>
    <w:p>
      <w:r>
        <w:rPr>
          <w:rFonts w:ascii="Calibri" w:hAnsi="Calibri"/>
          <w:b/>
          <w:color w:val="0A2540"/>
          <w:sz w:val="22"/>
        </w:rPr>
        <w:t>Fan Equipment Schedule (duty + standby)</w:t>
      </w:r>
    </w:p>
    <w:tbl>
      <w:tblPr>
        <w:tblStyle w:val="TableGrid"/>
        <w:tblW w:type="auto" w:w="0"/>
        <w:tblLook w:firstColumn="1" w:firstRow="1" w:lastColumn="0" w:lastRow="0" w:noHBand="0" w:noVBand="1" w:val="04A0"/>
      </w:tblPr>
      <w:tblGrid>
        <w:gridCol w:w="2340"/>
        <w:gridCol w:w="2340"/>
        <w:gridCol w:w="2340"/>
        <w:gridCol w:w="2340"/>
      </w:tblGrid>
      <w:tr>
        <w:tc>
          <w:tcPr>
            <w:tcW w:type="dxa" w:w="2340"/>
            <w:shd w:val="clear" w:color="auto" w:fill="0A2540"/>
          </w:tcPr>
          <w:p>
            <w:pPr>
              <w:jc w:val="center"/>
            </w:pPr>
            <w:r>
              <w:rPr>
                <w:rFonts w:ascii="Calibri" w:hAnsi="Calibri"/>
                <w:b/>
                <w:i w:val="0"/>
                <w:color w:val="FFFFFF"/>
                <w:sz w:val="18"/>
              </w:rPr>
              <w:t>Parameter</w:t>
            </w:r>
          </w:p>
        </w:tc>
        <w:tc>
          <w:tcPr>
            <w:tcW w:type="dxa" w:w="2340"/>
            <w:shd w:val="clear" w:color="auto" w:fill="0A2540"/>
          </w:tcPr>
          <w:p>
            <w:pPr>
              <w:jc w:val="center"/>
            </w:pPr>
            <w:r>
              <w:rPr>
                <w:rFonts w:ascii="Calibri" w:hAnsi="Calibri"/>
                <w:b/>
                <w:i w:val="0"/>
                <w:color w:val="FFFFFF"/>
                <w:sz w:val="18"/>
              </w:rPr>
              <w:t>Supply (Make-up)</w:t>
            </w:r>
          </w:p>
        </w:tc>
        <w:tc>
          <w:tcPr>
            <w:tcW w:type="dxa" w:w="2340"/>
            <w:shd w:val="clear" w:color="auto" w:fill="0A2540"/>
          </w:tcPr>
          <w:p>
            <w:pPr>
              <w:jc w:val="center"/>
            </w:pPr>
            <w:r>
              <w:rPr>
                <w:rFonts w:ascii="Calibri" w:hAnsi="Calibri"/>
                <w:b/>
                <w:i w:val="0"/>
                <w:color w:val="FFFFFF"/>
                <w:sz w:val="18"/>
              </w:rPr>
              <w:t>Extract</w:t>
            </w:r>
          </w:p>
        </w:tc>
        <w:tc>
          <w:tcPr>
            <w:tcW w:type="dxa" w:w="2340"/>
            <w:shd w:val="clear" w:color="auto" w:fill="0A2540"/>
          </w:tcPr>
          <w:p>
            <w:pPr>
              <w:jc w:val="center"/>
            </w:pPr>
            <w:r>
              <w:rPr>
                <w:rFonts w:ascii="Calibri" w:hAnsi="Calibri"/>
                <w:b/>
                <w:i w:val="0"/>
                <w:color w:val="FFFFFF"/>
                <w:sz w:val="18"/>
              </w:rPr>
              <w:t>Unit</w:t>
            </w:r>
          </w:p>
        </w:tc>
      </w:tr>
      <w:tr>
        <w:tc>
          <w:tcPr>
            <w:tcW w:type="dxa" w:w="2340"/>
            <w:shd w:val="clear" w:color="auto" w:fill="EFF9FC"/>
          </w:tcPr>
          <w:p>
            <w:pPr>
              <w:jc w:val="left"/>
            </w:pPr>
            <w:r>
              <w:rPr>
                <w:rFonts w:ascii="Calibri" w:hAnsi="Calibri"/>
                <w:b/>
                <w:i w:val="0"/>
                <w:sz w:val="18"/>
              </w:rPr>
              <w:t>Tag</w:t>
            </w:r>
          </w:p>
        </w:tc>
        <w:tc>
          <w:tcPr>
            <w:tcW w:type="dxa" w:w="2340"/>
            <w:shd w:val="clear" w:color="auto" w:fill="EFF9FC"/>
          </w:tcPr>
          <w:p>
            <w:pPr>
              <w:jc w:val="center"/>
            </w:pPr>
            <w:r>
              <w:rPr>
                <w:rFonts w:ascii="Calibri" w:hAnsi="Calibri"/>
                <w:b w:val="0"/>
                <w:i w:val="0"/>
                <w:color w:val="0B3D91"/>
                <w:sz w:val="18"/>
              </w:rPr>
              <w:t>SF-1..SF-3</w:t>
            </w:r>
          </w:p>
        </w:tc>
        <w:tc>
          <w:tcPr>
            <w:tcW w:type="dxa" w:w="2340"/>
            <w:shd w:val="clear" w:color="auto" w:fill="EFF9FC"/>
          </w:tcPr>
          <w:p>
            <w:pPr>
              <w:jc w:val="center"/>
            </w:pPr>
            <w:r>
              <w:rPr>
                <w:rFonts w:ascii="Calibri" w:hAnsi="Calibri"/>
                <w:b w:val="0"/>
                <w:i w:val="0"/>
                <w:color w:val="0B3D91"/>
                <w:sz w:val="18"/>
              </w:rPr>
              <w:t>EF-1..EF-3</w:t>
            </w:r>
          </w:p>
        </w:tc>
        <w:tc>
          <w:tcPr>
            <w:tcW w:type="dxa" w:w="2340"/>
            <w:shd w:val="clear" w:color="auto" w:fill="EFF9FC"/>
          </w:tcPr>
          <w:p>
            <w:pPr>
              <w:jc w:val="center"/>
            </w:pPr>
            <w:r>
              <w:rPr>
                <w:rFonts w:ascii="Calibri" w:hAnsi="Calibri"/>
                <w:b w:val="0"/>
                <w:i w:val="0"/>
                <w:color w:val="6B7280"/>
                <w:sz w:val="18"/>
              </w:rPr>
            </w:r>
          </w:p>
        </w:tc>
      </w:tr>
      <w:tr>
        <w:tc>
          <w:tcPr>
            <w:tcW w:type="dxa" w:w="2340"/>
            <w:shd w:val="clear" w:color="auto" w:fill="FFFFFF"/>
          </w:tcPr>
          <w:p>
            <w:pPr>
              <w:jc w:val="left"/>
            </w:pPr>
            <w:r>
              <w:rPr>
                <w:rFonts w:ascii="Calibri" w:hAnsi="Calibri"/>
                <w:b/>
                <w:i w:val="0"/>
                <w:sz w:val="18"/>
              </w:rPr>
              <w:t>Arrangement</w:t>
            </w:r>
          </w:p>
        </w:tc>
        <w:tc>
          <w:tcPr>
            <w:tcW w:type="dxa" w:w="2340"/>
            <w:shd w:val="clear" w:color="auto" w:fill="FFFFFF"/>
          </w:tcPr>
          <w:p>
            <w:pPr>
              <w:jc w:val="center"/>
            </w:pPr>
            <w:r>
              <w:rPr>
                <w:rFonts w:ascii="Calibri" w:hAnsi="Calibri"/>
                <w:b w:val="0"/>
                <w:i w:val="0"/>
                <w:color w:val="0B3D91"/>
                <w:sz w:val="18"/>
              </w:rPr>
              <w:t>2 duty + 1 standby</w:t>
            </w:r>
          </w:p>
        </w:tc>
        <w:tc>
          <w:tcPr>
            <w:tcW w:type="dxa" w:w="2340"/>
            <w:shd w:val="clear" w:color="auto" w:fill="FFFFFF"/>
          </w:tcPr>
          <w:p>
            <w:pPr>
              <w:jc w:val="center"/>
            </w:pPr>
            <w:r>
              <w:rPr>
                <w:rFonts w:ascii="Calibri" w:hAnsi="Calibri"/>
                <w:b w:val="0"/>
                <w:i w:val="0"/>
                <w:color w:val="0B3D91"/>
                <w:sz w:val="18"/>
              </w:rPr>
              <w:t>2 duty + 1 standby</w:t>
            </w:r>
          </w:p>
        </w:tc>
        <w:tc>
          <w:tcPr>
            <w:tcW w:type="dxa" w:w="2340"/>
            <w:shd w:val="clear" w:color="auto" w:fill="FFFFFF"/>
          </w:tcPr>
          <w:p>
            <w:pPr>
              <w:jc w:val="center"/>
            </w:pPr>
            <w:r>
              <w:rPr>
                <w:rFonts w:ascii="Calibri" w:hAnsi="Calibri"/>
                <w:b w:val="0"/>
                <w:i w:val="0"/>
                <w:color w:val="6B7280"/>
                <w:sz w:val="18"/>
              </w:rPr>
              <w:t>auto changeover</w:t>
            </w:r>
          </w:p>
        </w:tc>
      </w:tr>
      <w:tr>
        <w:tc>
          <w:tcPr>
            <w:tcW w:type="dxa" w:w="2340"/>
            <w:shd w:val="clear" w:color="auto" w:fill="EFF9FC"/>
          </w:tcPr>
          <w:p>
            <w:pPr>
              <w:jc w:val="left"/>
            </w:pPr>
            <w:r>
              <w:rPr>
                <w:rFonts w:ascii="Calibri" w:hAnsi="Calibri"/>
                <w:b/>
                <w:i w:val="0"/>
                <w:sz w:val="18"/>
              </w:rPr>
              <w:t>Flow per fan</w:t>
            </w:r>
          </w:p>
        </w:tc>
        <w:tc>
          <w:tcPr>
            <w:tcW w:type="dxa" w:w="2340"/>
            <w:shd w:val="clear" w:color="auto" w:fill="EFF9FC"/>
          </w:tcPr>
          <w:p>
            <w:pPr>
              <w:jc w:val="center"/>
            </w:pPr>
            <w:r>
              <w:rPr>
                <w:rFonts w:ascii="Calibri" w:hAnsi="Calibri"/>
                <w:b w:val="0"/>
                <w:i w:val="0"/>
                <w:color w:val="0B3D91"/>
                <w:sz w:val="18"/>
              </w:rPr>
              <w:t>8,846 m³/h</w:t>
            </w:r>
          </w:p>
        </w:tc>
        <w:tc>
          <w:tcPr>
            <w:tcW w:type="dxa" w:w="2340"/>
            <w:shd w:val="clear" w:color="auto" w:fill="EFF9FC"/>
          </w:tcPr>
          <w:p>
            <w:pPr>
              <w:jc w:val="center"/>
            </w:pPr>
            <w:r>
              <w:rPr>
                <w:rFonts w:ascii="Calibri" w:hAnsi="Calibri"/>
                <w:b w:val="0"/>
                <w:i w:val="0"/>
                <w:color w:val="0B3D91"/>
                <w:sz w:val="18"/>
              </w:rPr>
              <w:t>8,846 m³/h</w:t>
            </w:r>
          </w:p>
        </w:tc>
        <w:tc>
          <w:tcPr>
            <w:tcW w:type="dxa" w:w="2340"/>
            <w:shd w:val="clear" w:color="auto" w:fill="EFF9FC"/>
          </w:tcPr>
          <w:p>
            <w:pPr>
              <w:jc w:val="center"/>
            </w:pPr>
            <w:r>
              <w:rPr>
                <w:rFonts w:ascii="Calibri" w:hAnsi="Calibri"/>
                <w:b w:val="0"/>
                <w:i w:val="0"/>
                <w:color w:val="6B7280"/>
                <w:sz w:val="18"/>
              </w:rPr>
            </w:r>
          </w:p>
        </w:tc>
      </w:tr>
      <w:tr>
        <w:tc>
          <w:tcPr>
            <w:tcW w:type="dxa" w:w="2340"/>
            <w:shd w:val="clear" w:color="auto" w:fill="FFFFFF"/>
          </w:tcPr>
          <w:p>
            <w:pPr>
              <w:jc w:val="left"/>
            </w:pPr>
            <w:r>
              <w:rPr>
                <w:rFonts w:ascii="Calibri" w:hAnsi="Calibri"/>
                <w:b/>
                <w:i w:val="0"/>
                <w:sz w:val="18"/>
              </w:rPr>
              <w:t>External static pressure</w:t>
            </w:r>
          </w:p>
        </w:tc>
        <w:tc>
          <w:tcPr>
            <w:tcW w:type="dxa" w:w="2340"/>
            <w:shd w:val="clear" w:color="auto" w:fill="FFFFFF"/>
          </w:tcPr>
          <w:p>
            <w:pPr>
              <w:jc w:val="center"/>
            </w:pPr>
            <w:r>
              <w:rPr>
                <w:rFonts w:ascii="Calibri" w:hAnsi="Calibri"/>
                <w:b w:val="0"/>
                <w:i w:val="0"/>
                <w:color w:val="0B3D91"/>
                <w:sz w:val="18"/>
              </w:rPr>
              <w:t>250</w:t>
            </w:r>
          </w:p>
        </w:tc>
        <w:tc>
          <w:tcPr>
            <w:tcW w:type="dxa" w:w="2340"/>
            <w:shd w:val="clear" w:color="auto" w:fill="FFFFFF"/>
          </w:tcPr>
          <w:p>
            <w:pPr>
              <w:jc w:val="center"/>
            </w:pPr>
            <w:r>
              <w:rPr>
                <w:rFonts w:ascii="Calibri" w:hAnsi="Calibri"/>
                <w:b w:val="0"/>
                <w:i w:val="0"/>
                <w:color w:val="0B3D91"/>
                <w:sz w:val="18"/>
              </w:rPr>
              <w:t>250</w:t>
            </w:r>
          </w:p>
        </w:tc>
        <w:tc>
          <w:tcPr>
            <w:tcW w:type="dxa" w:w="2340"/>
            <w:shd w:val="clear" w:color="auto" w:fill="FFFFFF"/>
          </w:tcPr>
          <w:p>
            <w:pPr>
              <w:jc w:val="center"/>
            </w:pPr>
            <w:r>
              <w:rPr>
                <w:rFonts w:ascii="Calibri" w:hAnsi="Calibri"/>
                <w:b w:val="0"/>
                <w:i w:val="0"/>
                <w:color w:val="6B7280"/>
                <w:sz w:val="18"/>
              </w:rPr>
              <w:t>Pa</w:t>
            </w:r>
          </w:p>
        </w:tc>
      </w:tr>
      <w:tr>
        <w:tc>
          <w:tcPr>
            <w:tcW w:type="dxa" w:w="2340"/>
            <w:shd w:val="clear" w:color="auto" w:fill="EFF9FC"/>
          </w:tcPr>
          <w:p>
            <w:pPr>
              <w:jc w:val="left"/>
            </w:pPr>
            <w:r>
              <w:rPr>
                <w:rFonts w:ascii="Calibri" w:hAnsi="Calibri"/>
                <w:b/>
                <w:i w:val="0"/>
                <w:sz w:val="18"/>
              </w:rPr>
              <w:t>Fan efficiency</w:t>
            </w:r>
          </w:p>
        </w:tc>
        <w:tc>
          <w:tcPr>
            <w:tcW w:type="dxa" w:w="2340"/>
            <w:shd w:val="clear" w:color="auto" w:fill="EFF9FC"/>
          </w:tcPr>
          <w:p>
            <w:pPr>
              <w:jc w:val="center"/>
            </w:pPr>
            <w:r>
              <w:rPr>
                <w:rFonts w:ascii="Calibri" w:hAnsi="Calibri"/>
                <w:b w:val="0"/>
                <w:i w:val="0"/>
                <w:color w:val="0B3D91"/>
                <w:sz w:val="18"/>
              </w:rPr>
              <w:t>60</w:t>
            </w:r>
          </w:p>
        </w:tc>
        <w:tc>
          <w:tcPr>
            <w:tcW w:type="dxa" w:w="2340"/>
            <w:shd w:val="clear" w:color="auto" w:fill="EFF9FC"/>
          </w:tcPr>
          <w:p>
            <w:pPr>
              <w:jc w:val="center"/>
            </w:pPr>
            <w:r>
              <w:rPr>
                <w:rFonts w:ascii="Calibri" w:hAnsi="Calibri"/>
                <w:b w:val="0"/>
                <w:i w:val="0"/>
                <w:color w:val="0B3D91"/>
                <w:sz w:val="18"/>
              </w:rPr>
              <w:t>60</w:t>
            </w:r>
          </w:p>
        </w:tc>
        <w:tc>
          <w:tcPr>
            <w:tcW w:type="dxa" w:w="2340"/>
            <w:shd w:val="clear" w:color="auto" w:fill="EFF9FC"/>
          </w:tcPr>
          <w:p>
            <w:pPr>
              <w:jc w:val="center"/>
            </w:pPr>
            <w:r>
              <w:rPr>
                <w:rFonts w:ascii="Calibri" w:hAnsi="Calibri"/>
                <w:b w:val="0"/>
                <w:i w:val="0"/>
                <w:color w:val="6B7280"/>
                <w:sz w:val="18"/>
              </w:rPr>
              <w:t>%</w:t>
            </w:r>
          </w:p>
        </w:tc>
      </w:tr>
      <w:tr>
        <w:tc>
          <w:tcPr>
            <w:tcW w:type="dxa" w:w="2340"/>
            <w:shd w:val="clear" w:color="auto" w:fill="FFFFFF"/>
          </w:tcPr>
          <w:p>
            <w:pPr>
              <w:jc w:val="left"/>
            </w:pPr>
            <w:r>
              <w:rPr>
                <w:rFonts w:ascii="Calibri" w:hAnsi="Calibri"/>
                <w:b/>
                <w:i w:val="0"/>
                <w:sz w:val="18"/>
              </w:rPr>
              <w:t>Absorbed shaft power</w:t>
            </w:r>
          </w:p>
        </w:tc>
        <w:tc>
          <w:tcPr>
            <w:tcW w:type="dxa" w:w="2340"/>
            <w:shd w:val="clear" w:color="auto" w:fill="FFFFFF"/>
          </w:tcPr>
          <w:p>
            <w:pPr>
              <w:jc w:val="center"/>
            </w:pPr>
            <w:r>
              <w:rPr>
                <w:rFonts w:ascii="Calibri" w:hAnsi="Calibri"/>
                <w:b w:val="0"/>
                <w:i w:val="0"/>
                <w:color w:val="0B3D91"/>
                <w:sz w:val="18"/>
              </w:rPr>
              <w:t>1.024</w:t>
            </w:r>
          </w:p>
        </w:tc>
        <w:tc>
          <w:tcPr>
            <w:tcW w:type="dxa" w:w="2340"/>
            <w:shd w:val="clear" w:color="auto" w:fill="FFFFFF"/>
          </w:tcPr>
          <w:p>
            <w:pPr>
              <w:jc w:val="center"/>
            </w:pPr>
            <w:r>
              <w:rPr>
                <w:rFonts w:ascii="Calibri" w:hAnsi="Calibri"/>
                <w:b w:val="0"/>
                <w:i w:val="0"/>
                <w:color w:val="0B3D91"/>
                <w:sz w:val="18"/>
              </w:rPr>
              <w:t>1.024</w:t>
            </w:r>
          </w:p>
        </w:tc>
        <w:tc>
          <w:tcPr>
            <w:tcW w:type="dxa" w:w="2340"/>
            <w:shd w:val="clear" w:color="auto" w:fill="FFFFFF"/>
          </w:tcPr>
          <w:p>
            <w:pPr>
              <w:jc w:val="center"/>
            </w:pPr>
            <w:r>
              <w:rPr>
                <w:rFonts w:ascii="Calibri" w:hAnsi="Calibri"/>
                <w:b w:val="0"/>
                <w:i w:val="0"/>
                <w:color w:val="6B7280"/>
                <w:sz w:val="18"/>
              </w:rPr>
              <w:t>kW</w:t>
            </w:r>
          </w:p>
        </w:tc>
      </w:tr>
      <w:tr>
        <w:tc>
          <w:tcPr>
            <w:tcW w:type="dxa" w:w="2340"/>
            <w:shd w:val="clear" w:color="auto" w:fill="EFF9FC"/>
          </w:tcPr>
          <w:p>
            <w:pPr>
              <w:jc w:val="left"/>
            </w:pPr>
            <w:r>
              <w:rPr>
                <w:rFonts w:ascii="Calibri" w:hAnsi="Calibri"/>
                <w:b/>
                <w:i w:val="0"/>
                <w:sz w:val="18"/>
              </w:rPr>
              <w:t>Motor efficiency</w:t>
            </w:r>
          </w:p>
        </w:tc>
        <w:tc>
          <w:tcPr>
            <w:tcW w:type="dxa" w:w="2340"/>
            <w:shd w:val="clear" w:color="auto" w:fill="EFF9FC"/>
          </w:tcPr>
          <w:p>
            <w:pPr>
              <w:jc w:val="center"/>
            </w:pPr>
            <w:r>
              <w:rPr>
                <w:rFonts w:ascii="Calibri" w:hAnsi="Calibri"/>
                <w:b w:val="0"/>
                <w:i w:val="0"/>
                <w:color w:val="0B3D91"/>
                <w:sz w:val="18"/>
              </w:rPr>
              <w:t>82.8</w:t>
            </w:r>
          </w:p>
        </w:tc>
        <w:tc>
          <w:tcPr>
            <w:tcW w:type="dxa" w:w="2340"/>
            <w:shd w:val="clear" w:color="auto" w:fill="EFF9FC"/>
          </w:tcPr>
          <w:p>
            <w:pPr>
              <w:jc w:val="center"/>
            </w:pPr>
            <w:r>
              <w:rPr>
                <w:rFonts w:ascii="Calibri" w:hAnsi="Calibri"/>
                <w:b w:val="0"/>
                <w:i w:val="0"/>
                <w:color w:val="0B3D91"/>
                <w:sz w:val="18"/>
              </w:rPr>
              <w:t>82.8</w:t>
            </w:r>
          </w:p>
        </w:tc>
        <w:tc>
          <w:tcPr>
            <w:tcW w:type="dxa" w:w="2340"/>
            <w:shd w:val="clear" w:color="auto" w:fill="EFF9FC"/>
          </w:tcPr>
          <w:p>
            <w:pPr>
              <w:jc w:val="center"/>
            </w:pPr>
            <w:r>
              <w:rPr>
                <w:rFonts w:ascii="Calibri" w:hAnsi="Calibri"/>
                <w:b w:val="0"/>
                <w:i w:val="0"/>
                <w:color w:val="6B7280"/>
                <w:sz w:val="18"/>
              </w:rPr>
              <w:t>%</w:t>
            </w:r>
          </w:p>
        </w:tc>
      </w:tr>
      <w:tr>
        <w:tc>
          <w:tcPr>
            <w:tcW w:type="dxa" w:w="2340"/>
            <w:shd w:val="clear" w:color="auto" w:fill="FFFFFF"/>
          </w:tcPr>
          <w:p>
            <w:pPr>
              <w:jc w:val="left"/>
            </w:pPr>
            <w:r>
              <w:rPr>
                <w:rFonts w:ascii="Calibri" w:hAnsi="Calibri"/>
                <w:b/>
                <w:i w:val="0"/>
                <w:sz w:val="18"/>
              </w:rPr>
              <w:t>Motor efficiency basis</w:t>
            </w:r>
          </w:p>
        </w:tc>
        <w:tc>
          <w:tcPr>
            <w:tcW w:type="dxa" w:w="2340"/>
            <w:shd w:val="clear" w:color="auto" w:fill="FFFFFF"/>
          </w:tcPr>
          <w:p>
            <w:pPr>
              <w:jc w:val="center"/>
            </w:pPr>
            <w:r>
              <w:rPr>
                <w:rFonts w:ascii="Calibri" w:hAnsi="Calibri"/>
                <w:b w:val="0"/>
                <w:i w:val="0"/>
                <w:color w:val="0B3D91"/>
                <w:sz w:val="18"/>
              </w:rPr>
              <w:t>IE2 - BS EN 60034-30-1 Table 5, 4-pole</w:t>
            </w:r>
          </w:p>
        </w:tc>
        <w:tc>
          <w:tcPr>
            <w:tcW w:type="dxa" w:w="2340"/>
            <w:shd w:val="clear" w:color="auto" w:fill="FFFFFF"/>
          </w:tcPr>
          <w:p>
            <w:pPr>
              <w:jc w:val="center"/>
            </w:pPr>
            <w:r>
              <w:rPr>
                <w:rFonts w:ascii="Calibri" w:hAnsi="Calibri"/>
                <w:b w:val="0"/>
                <w:i w:val="0"/>
                <w:color w:val="0B3D91"/>
                <w:sz w:val="18"/>
              </w:rPr>
              <w:t>IE2 - BS EN 60034-30-1 Table 5, 4-pole</w:t>
            </w:r>
          </w:p>
        </w:tc>
        <w:tc>
          <w:tcPr>
            <w:tcW w:type="dxa" w:w="2340"/>
            <w:shd w:val="clear" w:color="auto" w:fill="FFFFFF"/>
          </w:tcPr>
          <w:p>
            <w:pPr>
              <w:jc w:val="center"/>
            </w:pPr>
            <w:r>
              <w:rPr>
                <w:rFonts w:ascii="Calibri" w:hAnsi="Calibri"/>
                <w:b w:val="0"/>
                <w:i w:val="0"/>
                <w:color w:val="6B7280"/>
                <w:sz w:val="18"/>
              </w:rPr>
            </w:r>
          </w:p>
        </w:tc>
      </w:tr>
      <w:tr>
        <w:tc>
          <w:tcPr>
            <w:tcW w:type="dxa" w:w="2340"/>
            <w:shd w:val="clear" w:color="auto" w:fill="EFF9FC"/>
          </w:tcPr>
          <w:p>
            <w:pPr>
              <w:jc w:val="left"/>
            </w:pPr>
            <w:r>
              <w:rPr>
                <w:rFonts w:ascii="Calibri" w:hAnsi="Calibri"/>
                <w:b/>
                <w:i w:val="0"/>
                <w:sz w:val="18"/>
              </w:rPr>
              <w:t>Motor electrical input</w:t>
            </w:r>
          </w:p>
        </w:tc>
        <w:tc>
          <w:tcPr>
            <w:tcW w:type="dxa" w:w="2340"/>
            <w:shd w:val="clear" w:color="auto" w:fill="EFF9FC"/>
          </w:tcPr>
          <w:p>
            <w:pPr>
              <w:jc w:val="center"/>
            </w:pPr>
            <w:r>
              <w:rPr>
                <w:rFonts w:ascii="Calibri" w:hAnsi="Calibri"/>
                <w:b w:val="0"/>
                <w:i w:val="0"/>
                <w:color w:val="0B3D91"/>
                <w:sz w:val="18"/>
              </w:rPr>
              <w:t>1.236</w:t>
            </w:r>
          </w:p>
        </w:tc>
        <w:tc>
          <w:tcPr>
            <w:tcW w:type="dxa" w:w="2340"/>
            <w:shd w:val="clear" w:color="auto" w:fill="EFF9FC"/>
          </w:tcPr>
          <w:p>
            <w:pPr>
              <w:jc w:val="center"/>
            </w:pPr>
            <w:r>
              <w:rPr>
                <w:rFonts w:ascii="Calibri" w:hAnsi="Calibri"/>
                <w:b w:val="0"/>
                <w:i w:val="0"/>
                <w:color w:val="0B3D91"/>
                <w:sz w:val="18"/>
              </w:rPr>
              <w:t>1.236</w:t>
            </w:r>
          </w:p>
        </w:tc>
        <w:tc>
          <w:tcPr>
            <w:tcW w:type="dxa" w:w="2340"/>
            <w:shd w:val="clear" w:color="auto" w:fill="EFF9FC"/>
          </w:tcPr>
          <w:p>
            <w:pPr>
              <w:jc w:val="center"/>
            </w:pPr>
            <w:r>
              <w:rPr>
                <w:rFonts w:ascii="Calibri" w:hAnsi="Calibri"/>
                <w:b w:val="0"/>
                <w:i w:val="0"/>
                <w:color w:val="6B7280"/>
                <w:sz w:val="18"/>
              </w:rPr>
              <w:t>kW</w:t>
            </w:r>
          </w:p>
        </w:tc>
      </w:tr>
      <w:tr>
        <w:tc>
          <w:tcPr>
            <w:tcW w:type="dxa" w:w="2340"/>
            <w:shd w:val="clear" w:color="auto" w:fill="CCF0FA"/>
          </w:tcPr>
          <w:p>
            <w:pPr>
              <w:jc w:val="left"/>
            </w:pPr>
            <w:r>
              <w:rPr>
                <w:rFonts w:ascii="Calibri" w:hAnsi="Calibri"/>
                <w:b/>
                <w:i w:val="0"/>
                <w:sz w:val="18"/>
              </w:rPr>
              <w:t>SELECTED MOTOR (x sizing margin 1.15)</w:t>
            </w:r>
          </w:p>
        </w:tc>
        <w:tc>
          <w:tcPr>
            <w:tcW w:type="dxa" w:w="2340"/>
            <w:shd w:val="clear" w:color="auto" w:fill="CCF0FA"/>
          </w:tcPr>
          <w:p>
            <w:pPr>
              <w:jc w:val="center"/>
            </w:pPr>
            <w:r>
              <w:rPr>
                <w:rFonts w:ascii="Calibri" w:hAnsi="Calibri"/>
                <w:b/>
                <w:i w:val="0"/>
                <w:color w:val="0B3D91"/>
                <w:sz w:val="18"/>
              </w:rPr>
              <w:t>1.5</w:t>
            </w:r>
          </w:p>
        </w:tc>
        <w:tc>
          <w:tcPr>
            <w:tcW w:type="dxa" w:w="2340"/>
            <w:shd w:val="clear" w:color="auto" w:fill="CCF0FA"/>
          </w:tcPr>
          <w:p>
            <w:pPr>
              <w:jc w:val="center"/>
            </w:pPr>
            <w:r>
              <w:rPr>
                <w:rFonts w:ascii="Calibri" w:hAnsi="Calibri"/>
                <w:b/>
                <w:i w:val="0"/>
                <w:color w:val="0B3D91"/>
                <w:sz w:val="18"/>
              </w:rPr>
              <w:t>1.5</w:t>
            </w:r>
          </w:p>
        </w:tc>
        <w:tc>
          <w:tcPr>
            <w:tcW w:type="dxa" w:w="2340"/>
            <w:shd w:val="clear" w:color="auto" w:fill="CCF0FA"/>
          </w:tcPr>
          <w:p>
            <w:pPr>
              <w:jc w:val="center"/>
            </w:pPr>
            <w:r>
              <w:rPr>
                <w:rFonts w:ascii="Calibri" w:hAnsi="Calibri"/>
                <w:b/>
                <w:i w:val="0"/>
                <w:color w:val="6B7280"/>
                <w:sz w:val="18"/>
              </w:rPr>
              <w:t>kW</w:t>
            </w:r>
          </w:p>
        </w:tc>
      </w:tr>
      <w:tr>
        <w:tc>
          <w:tcPr>
            <w:tcW w:type="dxa" w:w="2340"/>
            <w:shd w:val="clear" w:color="auto" w:fill="EFF9FC"/>
          </w:tcPr>
          <w:p>
            <w:pPr>
              <w:jc w:val="left"/>
            </w:pPr>
            <w:r>
              <w:rPr>
                <w:rFonts w:ascii="Calibri" w:hAnsi="Calibri"/>
                <w:b/>
                <w:i w:val="0"/>
                <w:sz w:val="18"/>
              </w:rPr>
              <w:t>Ductwork &amp; dampers</w:t>
            </w:r>
          </w:p>
        </w:tc>
        <w:tc>
          <w:tcPr>
            <w:tcW w:type="dxa" w:w="2340"/>
            <w:shd w:val="clear" w:color="auto" w:fill="EFF9FC"/>
          </w:tcPr>
          <w:p>
            <w:pPr>
              <w:jc w:val="center"/>
            </w:pPr>
            <w:r>
              <w:rPr>
                <w:rFonts w:ascii="Calibri" w:hAnsi="Calibri"/>
                <w:b w:val="0"/>
                <w:i w:val="0"/>
                <w:color w:val="0B3D91"/>
                <w:sz w:val="18"/>
              </w:rPr>
              <w:t>Fire-rated GI duct, NRD, MSFD</w:t>
            </w:r>
          </w:p>
        </w:tc>
        <w:tc>
          <w:tcPr>
            <w:tcW w:type="dxa" w:w="2340"/>
            <w:shd w:val="clear" w:color="auto" w:fill="EFF9FC"/>
          </w:tcPr>
          <w:p>
            <w:pPr>
              <w:jc w:val="center"/>
            </w:pPr>
            <w:r>
              <w:rPr>
                <w:rFonts w:ascii="Calibri" w:hAnsi="Calibri"/>
                <w:b w:val="0"/>
                <w:i w:val="0"/>
                <w:color w:val="0B3D91"/>
                <w:sz w:val="18"/>
              </w:rPr>
              <w:t>Fire-rated GI duct, NRD, MSFD</w:t>
            </w:r>
          </w:p>
        </w:tc>
        <w:tc>
          <w:tcPr>
            <w:tcW w:type="dxa" w:w="2340"/>
            <w:shd w:val="clear" w:color="auto" w:fill="EFF9FC"/>
          </w:tcPr>
          <w:p>
            <w:pPr>
              <w:jc w:val="center"/>
            </w:pPr>
            <w:r>
              <w:rPr>
                <w:rFonts w:ascii="Calibri" w:hAnsi="Calibri"/>
                <w:b w:val="0"/>
                <w:i w:val="0"/>
                <w:color w:val="6B7280"/>
                <w:sz w:val="18"/>
              </w:rPr>
            </w:r>
          </w:p>
        </w:tc>
      </w:tr>
    </w:tbl>
    <w:p/>
    <w:p>
      <w:r>
        <w:rPr>
          <w:rFonts w:ascii="Calibri" w:hAnsi="Calibri"/>
          <w:b/>
          <w:color w:val="0A2540"/>
          <w:sz w:val="22"/>
        </w:rPr>
        <w:t>Fire-Safety Provisions (advisory - confirm with the AHJ)</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Provision</w:t>
            </w:r>
          </w:p>
        </w:tc>
        <w:tc>
          <w:tcPr>
            <w:tcW w:type="dxa" w:w="4680"/>
            <w:shd w:val="clear" w:color="auto" w:fill="0A2540"/>
          </w:tcPr>
          <w:p>
            <w:pPr>
              <w:jc w:val="center"/>
            </w:pPr>
            <w:r>
              <w:rPr>
                <w:rFonts w:ascii="Calibri" w:hAnsi="Calibri"/>
                <w:b/>
                <w:i w:val="0"/>
                <w:color w:val="FFFFFF"/>
                <w:sz w:val="18"/>
              </w:rPr>
              <w:t>Status / requirement</w:t>
            </w:r>
          </w:p>
        </w:tc>
      </w:tr>
      <w:tr>
        <w:tc>
          <w:tcPr>
            <w:tcW w:type="dxa" w:w="4680"/>
            <w:shd w:val="clear" w:color="auto" w:fill="EFF9FC"/>
          </w:tcPr>
          <w:p>
            <w:pPr>
              <w:jc w:val="left"/>
            </w:pPr>
            <w:r>
              <w:rPr>
                <w:rFonts w:ascii="Calibri" w:hAnsi="Calibri"/>
                <w:b/>
                <w:i w:val="0"/>
                <w:color w:val="0A2540"/>
                <w:sz w:val="18"/>
              </w:rPr>
              <w:t>Enclosure fire rating</w:t>
            </w:r>
          </w:p>
        </w:tc>
        <w:tc>
          <w:tcPr>
            <w:tcW w:type="dxa" w:w="4680"/>
            <w:shd w:val="clear" w:color="auto" w:fill="EFF9FC"/>
          </w:tcPr>
          <w:p>
            <w:pPr>
              <w:jc w:val="left"/>
            </w:pPr>
            <w:r>
              <w:rPr>
                <w:rFonts w:ascii="Calibri" w:hAnsi="Calibri"/>
                <w:b w:val="0"/>
                <w:i w:val="0"/>
                <w:sz w:val="18"/>
              </w:rPr>
              <w:t>Provided. Transformer / RMU room 2 h fire rated.</w:t>
            </w:r>
          </w:p>
        </w:tc>
      </w:tr>
      <w:tr>
        <w:tc>
          <w:tcPr>
            <w:tcW w:type="dxa" w:w="4680"/>
            <w:shd w:val="clear" w:color="auto" w:fill="FFFFFF"/>
          </w:tcPr>
          <w:p>
            <w:pPr>
              <w:jc w:val="left"/>
            </w:pPr>
            <w:r>
              <w:rPr>
                <w:rFonts w:ascii="Calibri" w:hAnsi="Calibri"/>
                <w:b/>
                <w:i w:val="0"/>
                <w:color w:val="0A2540"/>
                <w:sz w:val="18"/>
              </w:rPr>
              <w:t>Exit door</w:t>
            </w:r>
          </w:p>
        </w:tc>
        <w:tc>
          <w:tcPr>
            <w:tcW w:type="dxa" w:w="4680"/>
            <w:shd w:val="clear" w:color="auto" w:fill="FFFFFF"/>
          </w:tcPr>
          <w:p>
            <w:pPr>
              <w:jc w:val="left"/>
            </w:pPr>
            <w:r>
              <w:rPr>
                <w:rFonts w:ascii="Calibri" w:hAnsi="Calibri"/>
                <w:b w:val="0"/>
                <w:i w:val="0"/>
                <w:sz w:val="18"/>
              </w:rPr>
              <w:t>Provided. At least one exit door, door swing in the direction of egress. If in a 2 h fire rated wall the door shall be 90 min fire rated.</w:t>
            </w:r>
          </w:p>
        </w:tc>
      </w:tr>
      <w:tr>
        <w:tc>
          <w:tcPr>
            <w:tcW w:type="dxa" w:w="4680"/>
            <w:shd w:val="clear" w:color="auto" w:fill="EFF9FC"/>
          </w:tcPr>
          <w:p>
            <w:pPr>
              <w:jc w:val="left"/>
            </w:pPr>
            <w:r>
              <w:rPr>
                <w:rFonts w:ascii="Calibri" w:hAnsi="Calibri"/>
                <w:b/>
                <w:i w:val="0"/>
                <w:color w:val="0A2540"/>
                <w:sz w:val="18"/>
              </w:rPr>
              <w:t>Room location (AHJ)</w:t>
            </w:r>
          </w:p>
        </w:tc>
        <w:tc>
          <w:tcPr>
            <w:tcW w:type="dxa" w:w="4680"/>
            <w:shd w:val="clear" w:color="auto" w:fill="EFF9FC"/>
          </w:tcPr>
          <w:p>
            <w:pPr>
              <w:jc w:val="left"/>
            </w:pPr>
            <w:r>
              <w:rPr>
                <w:rFonts w:ascii="Calibri" w:hAnsi="Calibri"/>
                <w:b w:val="0"/>
                <w:i w:val="0"/>
                <w:sz w:val="18"/>
              </w:rPr>
              <w:t>Provided. Confirm the transformer room location with the AHJ. Requirements differ: some place a transformer / HV room above grade level on the exterior perimeter of the building; others provide mechanical ventilation for transformer rooms with no exterior walls (e.g. in a basement).</w:t>
            </w:r>
          </w:p>
        </w:tc>
      </w:tr>
      <w:tr>
        <w:tc>
          <w:tcPr>
            <w:tcW w:type="dxa" w:w="4680"/>
            <w:shd w:val="clear" w:color="auto" w:fill="FFFFFF"/>
          </w:tcPr>
          <w:p>
            <w:pPr>
              <w:jc w:val="left"/>
            </w:pPr>
            <w:r>
              <w:rPr>
                <w:rFonts w:ascii="Calibri" w:hAnsi="Calibri"/>
                <w:b/>
                <w:i w:val="0"/>
                <w:color w:val="0A2540"/>
                <w:sz w:val="18"/>
              </w:rPr>
              <w:t>Louver back-up</w:t>
            </w:r>
          </w:p>
        </w:tc>
        <w:tc>
          <w:tcPr>
            <w:tcW w:type="dxa" w:w="4680"/>
            <w:shd w:val="clear" w:color="auto" w:fill="FFFFFF"/>
          </w:tcPr>
          <w:p>
            <w:pPr>
              <w:jc w:val="left"/>
            </w:pPr>
            <w:r>
              <w:rPr>
                <w:rFonts w:ascii="Calibri" w:hAnsi="Calibri"/>
                <w:b w:val="0"/>
                <w:i w:val="0"/>
                <w:sz w:val="18"/>
              </w:rPr>
              <w:t>Provided. Louvers provided on two sides of the room as a back-up to the mechanical ventilation.</w:t>
            </w:r>
          </w:p>
        </w:tc>
      </w:tr>
      <w:tr>
        <w:tc>
          <w:tcPr>
            <w:tcW w:type="dxa" w:w="4680"/>
            <w:shd w:val="clear" w:color="auto" w:fill="EFF9FC"/>
          </w:tcPr>
          <w:p>
            <w:pPr>
              <w:jc w:val="left"/>
            </w:pPr>
            <w:r>
              <w:rPr>
                <w:rFonts w:ascii="Calibri" w:hAnsi="Calibri"/>
                <w:b/>
                <w:i w:val="0"/>
                <w:color w:val="0A2540"/>
                <w:sz w:val="18"/>
              </w:rPr>
              <w:t>Louver fire protection</w:t>
            </w:r>
          </w:p>
        </w:tc>
        <w:tc>
          <w:tcPr>
            <w:tcW w:type="dxa" w:w="4680"/>
            <w:shd w:val="clear" w:color="auto" w:fill="EFF9FC"/>
          </w:tcPr>
          <w:p>
            <w:pPr>
              <w:jc w:val="left"/>
            </w:pPr>
            <w:r>
              <w:rPr>
                <w:rFonts w:ascii="Calibri" w:hAnsi="Calibri"/>
                <w:b w:val="0"/>
                <w:i w:val="0"/>
                <w:sz w:val="18"/>
              </w:rPr>
              <w:t>Provided. Louvers protected by automatic 2 h fire rated shutters or 2 h fire rated curtains on the landlord side.</w:t>
            </w:r>
          </w:p>
        </w:tc>
      </w:tr>
      <w:tr>
        <w:tc>
          <w:tcPr>
            <w:tcW w:type="dxa" w:w="4680"/>
            <w:shd w:val="clear" w:color="auto" w:fill="FFFFFF"/>
          </w:tcPr>
          <w:p>
            <w:pPr>
              <w:jc w:val="left"/>
            </w:pPr>
            <w:r>
              <w:rPr>
                <w:rFonts w:ascii="Calibri" w:hAnsi="Calibri"/>
                <w:b/>
                <w:i w:val="0"/>
                <w:color w:val="0A2540"/>
                <w:sz w:val="18"/>
              </w:rPr>
              <w:t>Detection</w:t>
            </w:r>
          </w:p>
        </w:tc>
        <w:tc>
          <w:tcPr>
            <w:tcW w:type="dxa" w:w="4680"/>
            <w:shd w:val="clear" w:color="auto" w:fill="FFFFFF"/>
          </w:tcPr>
          <w:p>
            <w:pPr>
              <w:jc w:val="left"/>
            </w:pPr>
            <w:r>
              <w:rPr>
                <w:rFonts w:ascii="Calibri" w:hAnsi="Calibri"/>
                <w:b w:val="0"/>
                <w:i w:val="0"/>
                <w:sz w:val="18"/>
              </w:rPr>
              <w:t>Provided. Two combined fire and smoke detectors on the landlord side, on the slab soffit within the vicinity of the louver (door release service).</w:t>
            </w:r>
          </w:p>
        </w:tc>
      </w:tr>
      <w:tr>
        <w:tc>
          <w:tcPr>
            <w:tcW w:type="dxa" w:w="4680"/>
            <w:shd w:val="clear" w:color="auto" w:fill="EFF9FC"/>
          </w:tcPr>
          <w:p>
            <w:pPr>
              <w:jc w:val="left"/>
            </w:pPr>
            <w:r>
              <w:rPr>
                <w:rFonts w:ascii="Calibri" w:hAnsi="Calibri"/>
                <w:b/>
                <w:i w:val="0"/>
                <w:color w:val="0A2540"/>
                <w:sz w:val="18"/>
              </w:rPr>
              <w:t>Automatic shutdown</w:t>
            </w:r>
          </w:p>
        </w:tc>
        <w:tc>
          <w:tcPr>
            <w:tcW w:type="dxa" w:w="4680"/>
            <w:shd w:val="clear" w:color="auto" w:fill="EFF9FC"/>
          </w:tcPr>
          <w:p>
            <w:pPr>
              <w:jc w:val="left"/>
            </w:pPr>
            <w:r>
              <w:rPr>
                <w:rFonts w:ascii="Calibri" w:hAnsi="Calibri"/>
                <w:b w:val="0"/>
                <w:i w:val="0"/>
                <w:sz w:val="18"/>
              </w:rPr>
              <w:t>Provided. On activation of both detectors: fire rated shutters/curtains automatically close AND mechanical ventilation automatically stops.</w:t>
            </w:r>
          </w:p>
        </w:tc>
      </w:tr>
      <w:tr>
        <w:tc>
          <w:tcPr>
            <w:tcW w:type="dxa" w:w="4680"/>
            <w:shd w:val="clear" w:color="auto" w:fill="FFFFFF"/>
          </w:tcPr>
          <w:p>
            <w:pPr>
              <w:jc w:val="left"/>
            </w:pPr>
            <w:r>
              <w:rPr>
                <w:rFonts w:ascii="Calibri" w:hAnsi="Calibri"/>
                <w:b/>
                <w:i w:val="0"/>
                <w:color w:val="0A2540"/>
                <w:sz w:val="18"/>
              </w:rPr>
              <w:t>Override switch</w:t>
            </w:r>
          </w:p>
        </w:tc>
        <w:tc>
          <w:tcPr>
            <w:tcW w:type="dxa" w:w="4680"/>
            <w:shd w:val="clear" w:color="auto" w:fill="FFFFFF"/>
          </w:tcPr>
          <w:p>
            <w:pPr>
              <w:jc w:val="left"/>
            </w:pPr>
            <w:r>
              <w:rPr>
                <w:rFonts w:ascii="Calibri" w:hAnsi="Calibri"/>
                <w:b w:val="0"/>
                <w:i w:val="0"/>
                <w:sz w:val="18"/>
              </w:rPr>
              <w:t>Provided. Fire rated shutters/curtains have an automatic override switch on the landlord side.</w:t>
            </w:r>
          </w:p>
        </w:tc>
      </w:tr>
      <w:tr>
        <w:tc>
          <w:tcPr>
            <w:tcW w:type="dxa" w:w="4680"/>
            <w:shd w:val="clear" w:color="auto" w:fill="EFF9FC"/>
          </w:tcPr>
          <w:p>
            <w:pPr>
              <w:jc w:val="left"/>
            </w:pPr>
            <w:r>
              <w:rPr>
                <w:rFonts w:ascii="Calibri" w:hAnsi="Calibri"/>
                <w:b/>
                <w:i w:val="0"/>
                <w:color w:val="0A2540"/>
                <w:sz w:val="18"/>
              </w:rPr>
              <w:t>Fire rated exit door</w:t>
            </w:r>
          </w:p>
        </w:tc>
        <w:tc>
          <w:tcPr>
            <w:tcW w:type="dxa" w:w="4680"/>
            <w:shd w:val="clear" w:color="auto" w:fill="EFF9FC"/>
          </w:tcPr>
          <w:p>
            <w:pPr>
              <w:jc w:val="left"/>
            </w:pPr>
            <w:r>
              <w:rPr>
                <w:rFonts w:ascii="Calibri" w:hAnsi="Calibri"/>
                <w:b w:val="0"/>
                <w:i w:val="0"/>
                <w:sz w:val="18"/>
              </w:rPr>
              <w:t>Provided. At least one fire rated (90 min) exit door, with door swing in the direction of egress.</w:t>
            </w:r>
          </w:p>
        </w:tc>
      </w:tr>
      <w:tr>
        <w:tc>
          <w:tcPr>
            <w:tcW w:type="dxa" w:w="4680"/>
            <w:shd w:val="clear" w:color="auto" w:fill="FFFFFF"/>
          </w:tcPr>
          <w:p>
            <w:pPr>
              <w:jc w:val="left"/>
            </w:pPr>
            <w:r>
              <w:rPr>
                <w:rFonts w:ascii="Calibri" w:hAnsi="Calibri"/>
                <w:b/>
                <w:i w:val="0"/>
                <w:color w:val="0A2540"/>
                <w:sz w:val="18"/>
              </w:rPr>
              <w:t>Alternative exit</w:t>
            </w:r>
          </w:p>
        </w:tc>
        <w:tc>
          <w:tcPr>
            <w:tcW w:type="dxa" w:w="4680"/>
            <w:shd w:val="clear" w:color="auto" w:fill="FFFFFF"/>
          </w:tcPr>
          <w:p>
            <w:pPr>
              <w:jc w:val="left"/>
            </w:pPr>
            <w:r>
              <w:rPr>
                <w:rFonts w:ascii="Calibri" w:hAnsi="Calibri"/>
                <w:b w:val="0"/>
                <w:i w:val="0"/>
                <w:sz w:val="18"/>
              </w:rPr>
              <w:t>Provided. Equipment access doors may include louvers but are blocked by the closing fire curtains/shutters; an alternative exit shall be provided and equipment doors shall NOT be marked as an exit.</w:t>
            </w:r>
          </w:p>
        </w:tc>
      </w:tr>
      <w:tr>
        <w:tc>
          <w:tcPr>
            <w:tcW w:type="dxa" w:w="4680"/>
            <w:shd w:val="clear" w:color="auto" w:fill="EFF9FC"/>
          </w:tcPr>
          <w:p>
            <w:pPr>
              <w:jc w:val="left"/>
            </w:pPr>
            <w:r>
              <w:rPr>
                <w:rFonts w:ascii="Calibri" w:hAnsi="Calibri"/>
                <w:b/>
                <w:i w:val="0"/>
                <w:color w:val="0A2540"/>
                <w:sz w:val="18"/>
              </w:rPr>
              <w:t>Duty + standby fans</w:t>
            </w:r>
          </w:p>
        </w:tc>
        <w:tc>
          <w:tcPr>
            <w:tcW w:type="dxa" w:w="4680"/>
            <w:shd w:val="clear" w:color="auto" w:fill="EFF9FC"/>
          </w:tcPr>
          <w:p>
            <w:pPr>
              <w:jc w:val="left"/>
            </w:pPr>
            <w:r>
              <w:rPr>
                <w:rFonts w:ascii="Calibri" w:hAnsi="Calibri"/>
                <w:b w:val="0"/>
                <w:i w:val="0"/>
                <w:sz w:val="18"/>
              </w:rPr>
              <w:t>Provided. Duty + standby fan arrangement mandatory on BOTH the supply (make-up) and the extract systems, with automatic changeover.</w:t>
            </w:r>
          </w:p>
        </w:tc>
      </w:tr>
      <w:tr>
        <w:tc>
          <w:tcPr>
            <w:tcW w:type="dxa" w:w="4680"/>
            <w:shd w:val="clear" w:color="auto" w:fill="FFFFFF"/>
          </w:tcPr>
          <w:p>
            <w:pPr>
              <w:jc w:val="left"/>
            </w:pPr>
            <w:r>
              <w:rPr>
                <w:rFonts w:ascii="Calibri" w:hAnsi="Calibri"/>
                <w:b/>
                <w:i w:val="0"/>
                <w:color w:val="0A2540"/>
                <w:sz w:val="18"/>
              </w:rPr>
              <w:t>Fire-rated GI ductwork</w:t>
            </w:r>
          </w:p>
        </w:tc>
        <w:tc>
          <w:tcPr>
            <w:tcW w:type="dxa" w:w="4680"/>
            <w:shd w:val="clear" w:color="auto" w:fill="FFFFFF"/>
          </w:tcPr>
          <w:p>
            <w:pPr>
              <w:jc w:val="left"/>
            </w:pPr>
            <w:r>
              <w:rPr>
                <w:rFonts w:ascii="Calibri" w:hAnsi="Calibri"/>
                <w:b w:val="0"/>
                <w:i w:val="0"/>
                <w:sz w:val="18"/>
              </w:rPr>
              <w:t>Provided. All supply and extract ductwork shall be fire-rated galvanised-iron (GI).</w:t>
            </w:r>
          </w:p>
        </w:tc>
      </w:tr>
      <w:tr>
        <w:tc>
          <w:tcPr>
            <w:tcW w:type="dxa" w:w="4680"/>
            <w:shd w:val="clear" w:color="auto" w:fill="EFF9FC"/>
          </w:tcPr>
          <w:p>
            <w:pPr>
              <w:jc w:val="left"/>
            </w:pPr>
            <w:r>
              <w:rPr>
                <w:rFonts w:ascii="Calibri" w:hAnsi="Calibri"/>
                <w:b/>
                <w:i w:val="0"/>
                <w:color w:val="0A2540"/>
                <w:sz w:val="18"/>
              </w:rPr>
              <w:t>Non-return dampers (NRD)</w:t>
            </w:r>
          </w:p>
        </w:tc>
        <w:tc>
          <w:tcPr>
            <w:tcW w:type="dxa" w:w="4680"/>
            <w:shd w:val="clear" w:color="auto" w:fill="EFF9FC"/>
          </w:tcPr>
          <w:p>
            <w:pPr>
              <w:jc w:val="left"/>
            </w:pPr>
            <w:r>
              <w:rPr>
                <w:rFonts w:ascii="Calibri" w:hAnsi="Calibri"/>
                <w:b w:val="0"/>
                <w:i w:val="0"/>
                <w:sz w:val="18"/>
              </w:rPr>
              <w:t>Provided. Non-return dampers on the supply and extract branches to prevent reverse airflow.</w:t>
            </w:r>
          </w:p>
        </w:tc>
      </w:tr>
      <w:tr>
        <w:tc>
          <w:tcPr>
            <w:tcW w:type="dxa" w:w="4680"/>
            <w:shd w:val="clear" w:color="auto" w:fill="FFFFFF"/>
          </w:tcPr>
          <w:p>
            <w:pPr>
              <w:jc w:val="left"/>
            </w:pPr>
            <w:r>
              <w:rPr>
                <w:rFonts w:ascii="Calibri" w:hAnsi="Calibri"/>
                <w:b/>
                <w:i w:val="0"/>
                <w:color w:val="0A2540"/>
                <w:sz w:val="18"/>
              </w:rPr>
              <w:t>Motorised smoke/fire dampers (MSFD)</w:t>
            </w:r>
          </w:p>
        </w:tc>
        <w:tc>
          <w:tcPr>
            <w:tcW w:type="dxa" w:w="4680"/>
            <w:shd w:val="clear" w:color="auto" w:fill="FFFFFF"/>
          </w:tcPr>
          <w:p>
            <w:pPr>
              <w:jc w:val="left"/>
            </w:pPr>
            <w:r>
              <w:rPr>
                <w:rFonts w:ascii="Calibri" w:hAnsi="Calibri"/>
                <w:b w:val="0"/>
                <w:i w:val="0"/>
                <w:sz w:val="18"/>
              </w:rPr>
              <w:t>Provided. Motorised smoke/fire dampers on the supply and extract branches for smoke containment and fire isolation.</w:t>
            </w:r>
          </w:p>
        </w:tc>
      </w:tr>
      <w:tr>
        <w:tc>
          <w:tcPr>
            <w:tcW w:type="dxa" w:w="4680"/>
            <w:shd w:val="clear" w:color="auto" w:fill="EFF9FC"/>
          </w:tcPr>
          <w:p>
            <w:pPr>
              <w:jc w:val="left"/>
            </w:pPr>
            <w:r>
              <w:rPr>
                <w:rFonts w:ascii="Calibri" w:hAnsi="Calibri"/>
                <w:b/>
                <w:i w:val="0"/>
                <w:color w:val="0A2540"/>
                <w:sz w:val="18"/>
              </w:rPr>
              <w:t>Sand-trap louvers</w:t>
            </w:r>
          </w:p>
        </w:tc>
        <w:tc>
          <w:tcPr>
            <w:tcW w:type="dxa" w:w="4680"/>
            <w:shd w:val="clear" w:color="auto" w:fill="EFF9FC"/>
          </w:tcPr>
          <w:p>
            <w:pPr>
              <w:jc w:val="left"/>
            </w:pPr>
            <w:r>
              <w:rPr>
                <w:rFonts w:ascii="Calibri" w:hAnsi="Calibri"/>
                <w:b w:val="0"/>
                <w:i w:val="0"/>
                <w:sz w:val="18"/>
              </w:rPr>
              <w:t>Provided. Sand-trap louvers on ALL fresh-air intake openings to minimise dust/sand ingress.</w:t>
            </w:r>
          </w:p>
        </w:tc>
      </w:tr>
      <w:tr>
        <w:tc>
          <w:tcPr>
            <w:tcW w:type="dxa" w:w="4680"/>
            <w:shd w:val="clear" w:color="auto" w:fill="FFFFFF"/>
          </w:tcPr>
          <w:p>
            <w:pPr>
              <w:jc w:val="left"/>
            </w:pPr>
            <w:r>
              <w:rPr>
                <w:rFonts w:ascii="Calibri" w:hAnsi="Calibri"/>
                <w:b/>
                <w:i w:val="0"/>
                <w:color w:val="0A2540"/>
                <w:sz w:val="18"/>
              </w:rPr>
              <w:t>Intake/exhaust separation</w:t>
            </w:r>
          </w:p>
        </w:tc>
        <w:tc>
          <w:tcPr>
            <w:tcW w:type="dxa" w:w="4680"/>
            <w:shd w:val="clear" w:color="auto" w:fill="FFFFFF"/>
          </w:tcPr>
          <w:p>
            <w:pPr>
              <w:jc w:val="left"/>
            </w:pPr>
            <w:r>
              <w:rPr>
                <w:rFonts w:ascii="Calibri" w:hAnsi="Calibri"/>
                <w:b w:val="0"/>
                <w:i w:val="0"/>
                <w:sz w:val="18"/>
              </w:rPr>
              <w:t>Provided. Minimum 10 m separation between intake and exhaust louvers; supply grilles at low level, exhaust grilles at high level, to prevent hot-air short-circuiting.</w:t>
            </w:r>
          </w:p>
        </w:tc>
      </w:tr>
      <w:tr>
        <w:tc>
          <w:tcPr>
            <w:tcW w:type="dxa" w:w="4680"/>
            <w:shd w:val="clear" w:color="auto" w:fill="EFF9FC"/>
          </w:tcPr>
          <w:p>
            <w:pPr>
              <w:jc w:val="left"/>
            </w:pPr>
            <w:r>
              <w:rPr>
                <w:rFonts w:ascii="Calibri" w:hAnsi="Calibri"/>
                <w:b/>
                <w:i w:val="0"/>
                <w:color w:val="0A2540"/>
                <w:sz w:val="18"/>
              </w:rPr>
              <w:t>BMS controls &amp; alarms</w:t>
            </w:r>
          </w:p>
        </w:tc>
        <w:tc>
          <w:tcPr>
            <w:tcW w:type="dxa" w:w="4680"/>
            <w:shd w:val="clear" w:color="auto" w:fill="EFF9FC"/>
          </w:tcPr>
          <w:p>
            <w:pPr>
              <w:jc w:val="left"/>
            </w:pPr>
            <w:r>
              <w:rPr>
                <w:rFonts w:ascii="Calibri" w:hAnsi="Calibri"/>
                <w:b w:val="0"/>
                <w:i w:val="0"/>
                <w:sz w:val="18"/>
              </w:rPr>
              <w:t>Provided. All fans connected to BMS with automatic duty/standby changeover, high-temperature alarm, and fan-failure detection/alert.</w:t>
            </w:r>
          </w:p>
        </w:tc>
      </w:tr>
      <w:tr>
        <w:tc>
          <w:tcPr>
            <w:tcW w:type="dxa" w:w="4680"/>
            <w:shd w:val="clear" w:color="auto" w:fill="FFFFFF"/>
          </w:tcPr>
          <w:p>
            <w:pPr>
              <w:jc w:val="left"/>
            </w:pPr>
            <w:r>
              <w:rPr>
                <w:rFonts w:ascii="Calibri" w:hAnsi="Calibri"/>
                <w:b/>
                <w:i w:val="0"/>
                <w:color w:val="0A2540"/>
                <w:sz w:val="18"/>
              </w:rPr>
              <w:t>No equipment inside the room</w:t>
            </w:r>
          </w:p>
        </w:tc>
        <w:tc>
          <w:tcPr>
            <w:tcW w:type="dxa" w:w="4680"/>
            <w:shd w:val="clear" w:color="auto" w:fill="FFFFFF"/>
          </w:tcPr>
          <w:p>
            <w:pPr>
              <w:jc w:val="left"/>
            </w:pPr>
            <w:r>
              <w:rPr>
                <w:rFonts w:ascii="Calibri" w:hAnsi="Calibri"/>
                <w:b w:val="0"/>
                <w:i w:val="0"/>
                <w:sz w:val="18"/>
              </w:rPr>
              <w:t>Provided. No fan units, projecting ductwork or temperature sensors inside the transformer room; grilles shall be flush with the walls.</w:t>
            </w:r>
          </w:p>
        </w:tc>
      </w:tr>
    </w:tbl>
    <w:p/>
    <w:p>
      <w:pPr>
        <w:pStyle w:val="Heading1"/>
        <w:pBdr>
          <w:bottom w:val="single" w:sz="6" w:space="4" w:color="0A2540"/>
        </w:pBdr>
      </w:pPr>
      <w:r>
        <w:rPr>
          <w:rFonts w:ascii="Calibri" w:hAnsi="Calibri"/>
          <w:b/>
          <w:color w:val="0A2540"/>
          <w:sz w:val="26"/>
        </w:rPr>
        <w:t>R.  Reference Standards</w:t>
      </w:r>
    </w:p>
    <w:p>
      <w:pPr>
        <w:pStyle w:val="ListBullet"/>
      </w:pPr>
      <w:r>
        <w:rPr>
          <w:rFonts w:ascii="Calibri" w:hAnsi="Calibri"/>
          <w:b/>
          <w:color w:val="0A2540"/>
          <w:sz w:val="18"/>
        </w:rPr>
        <w:t>Figure G.52 forced-ventilation nomogram (Dubai Building Code 2021, Part G, page G 96)</w:t>
      </w:r>
      <w:r>
        <w:rPr>
          <w:rFonts w:ascii="Calibri" w:hAnsi="Calibri"/>
          <w:color w:val="374151"/>
          <w:sz w:val="18"/>
        </w:rPr>
        <w:t xml:space="preserve"> — AIRFLOW METHOD SOURCE only - measured from the figure's own vector geometry (rho.cp = 1125 J/(m3.K) at sea level). Limits and preset values used with it are AHJ defaults (see Design Assumptions)</w:t>
      </w:r>
    </w:p>
    <w:p>
      <w:pPr>
        <w:pStyle w:val="ListBullet"/>
      </w:pPr>
      <w:r>
        <w:rPr>
          <w:rFonts w:ascii="Calibri" w:hAnsi="Calibri"/>
          <w:b/>
          <w:color w:val="0A2540"/>
          <w:sz w:val="18"/>
        </w:rPr>
        <w:t>IEC 60076-8:1997</w:t>
      </w:r>
      <w:r>
        <w:rPr>
          <w:rFonts w:ascii="Calibri" w:hAnsi="Calibri"/>
          <w:color w:val="374151"/>
          <w:sz w:val="18"/>
        </w:rPr>
        <w:t xml:space="preserve"> — Datasheet loss method P_loss = P0 + Pk x LF^2 (cl. 10.3: the load loss varies with the square of the current), evaluated at each transformer row's load factor, full load by default; transformer application guide</w:t>
      </w:r>
    </w:p>
    <w:p>
      <w:pPr>
        <w:pStyle w:val="ListBullet"/>
      </w:pPr>
      <w:r>
        <w:rPr>
          <w:rFonts w:ascii="Calibri" w:hAnsi="Calibri"/>
          <w:b/>
          <w:color w:val="0A2540"/>
          <w:sz w:val="18"/>
        </w:rPr>
        <w:t>BS EN 60034-30-1:2014 (= IEC 60034-30-1:2014)</w:t>
      </w:r>
      <w:r>
        <w:rPr>
          <w:rFonts w:ascii="Calibri" w:hAnsi="Calibri"/>
          <w:color w:val="374151"/>
          <w:sz w:val="18"/>
        </w:rPr>
        <w:t xml:space="preserve"> — Motor efficiency for an IE class: the nominal efficiency limit printed for the SELECTED motor rating, 50 Hz, 4-pole (Tables 3 / 5 / 7 / 9); a Custom efficiency is the engineer's own value</w:t>
      </w:r>
    </w:p>
    <w:p>
      <w:pPr>
        <w:pStyle w:val="ListBullet"/>
      </w:pPr>
      <w:r>
        <w:rPr>
          <w:rFonts w:ascii="Calibri" w:hAnsi="Calibri"/>
          <w:b/>
          <w:color w:val="0A2540"/>
          <w:sz w:val="18"/>
        </w:rPr>
        <w:t>IEC 60072 (all parts)</w:t>
      </w:r>
      <w:r>
        <w:rPr>
          <w:rFonts w:ascii="Calibri" w:hAnsi="Calibri"/>
          <w:color w:val="374151"/>
          <w:sz w:val="18"/>
        </w:rPr>
        <w:t xml:space="preserve"> — Dimensions and output series for rotating electrical machines — preferred kW series the motor rung is selected from (rating basis: BS EN 60034-1:2010)</w:t>
      </w:r>
    </w:p>
    <w:p>
      <w:pPr>
        <w:pStyle w:val="ListBullet"/>
      </w:pPr>
      <w:r>
        <w:rPr>
          <w:rFonts w:ascii="Calibri" w:hAnsi="Calibri"/>
          <w:b/>
          <w:color w:val="0A2540"/>
          <w:sz w:val="18"/>
        </w:rPr>
        <w:t>CIBSE AM10 (2005), Natural ventilation, Eq 4.12 (p. 45; PDF p. 51 of the ref copy)</w:t>
      </w:r>
      <w:r>
        <w:rPr>
          <w:rFonts w:ascii="Calibri" w:hAnsi="Calibri"/>
          <w:color w:val="374151"/>
          <w:sz w:val="18"/>
        </w:rPr>
        <w:t xml:space="preserve"> — Stack-effect free-area back-up check (internal temperature T_I in the buoyancy term) &amp; the 0.6 sharp-opening Cd the louver value is derated from</w:t>
      </w:r>
    </w:p>
    <w:p>
      <w:pPr>
        <w:pStyle w:val="ListBullet"/>
      </w:pPr>
      <w:r>
        <w:rPr>
          <w:rFonts w:ascii="Calibri" w:hAnsi="Calibri"/>
          <w:b/>
          <w:color w:val="0A2540"/>
          <w:sz w:val="18"/>
        </w:rPr>
        <w:t>ICAO Doc 7488 / US Std Atmosphere 1976</w:t>
      </w:r>
      <w:r>
        <w:rPr>
          <w:rFonts w:ascii="Calibri" w:hAnsi="Calibri"/>
          <w:color w:val="374151"/>
          <w:sz w:val="18"/>
        </w:rPr>
        <w:t xml:space="preserve"> — ISA pressure ratio — altitude correction of the Fig G.52 basis, and the standard air density of the comparison line</w:t>
      </w:r>
    </w:p>
    <w:p>
      <w:r>
        <w:rPr>
          <w:rFonts w:ascii="Calibri" w:hAnsi="Calibri"/>
          <w:i/>
          <w:color w:val="6B7280"/>
          <w:sz w:val="16"/>
        </w:rPr>
        <w:t>Generated by the MEP Suite — Substation Ventilation tool.</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 xml:space="preserve">Page </w:t>
    </w:r>
    <w:r>
      <w:rPr>
        <w:rFonts w:ascii="Calibri" w:hAnsi="Calibri"/>
        <w:color w:val="6B7280"/>
        <w:sz w:val="16"/>
      </w:rPr>
      <w:fldChar w:fldCharType="begin"/>
      <w:instrText>PAGE</w:instrText>
      <w:fldChar w:fldCharType="end"/>
    </w:r>
    <w:r>
      <w:rPr>
        <w:rFonts w:ascii="Calibri" w:hAnsi="Calibri"/>
        <w:color w:val="6B7280"/>
        <w:sz w:val="16"/>
      </w:rPr>
      <w:t xml:space="preserve"> of </w:t>
    </w:r>
    <w:r>
      <w:rPr>
        <w:rFonts w:ascii="Calibri" w:hAnsi="Calibri"/>
        <w:color w:val="6B7280"/>
        <w:sz w:val="16"/>
      </w:rPr>
      <w:fldChar w:fldCharType="begin"/>
      <w:instrText>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