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40"/>
              </w:rPr>
              <w:t>IPC Fixture Unit Calculation</w:t>
            </w:r>
          </w:p>
        </w:tc>
      </w:tr>
      <w:tr>
        <w:tc>
          <w:tcPr>
            <w:tcW w:type="dxa" w:w="9360"/>
            <w:shd w:val="clear" w:color="auto" w:fill="0D4F6B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FFFFFF"/>
                <w:sz w:val="24"/>
              </w:rPr>
              <w:t>IPC 2021 — WSFU → Peak Design Flow (Hunter's Curve)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9360"/>
            <w:gridSpan w:val="2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>Project Information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Name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Test Tower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Project No.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MCT-2026-MEP-001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Revision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P2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Client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Test Dev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Prepared by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Hussein Ragab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Checked by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Principal MEP Review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sz w:val="18"/>
              </w:rPr>
              <w:t>Date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color w:val="0B3D91"/>
                <w:sz w:val="18"/>
              </w:rPr>
              <w:t>2026-09-02</w:t>
            </w:r>
          </w:p>
        </w:tc>
      </w:tr>
    </w:tbl>
    <w:p/>
    <w:p>
      <w:r>
        <w:rPr>
          <w:rFonts w:ascii="Calibri" w:hAnsi="Calibri"/>
          <w:i/>
          <w:color w:val="374151"/>
          <w:sz w:val="18"/>
        </w:rPr>
        <w:t>Values in this report are displayed in SI (metric) units.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1.  Methodology &amp; Standards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Reference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Application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IPC 2021 App. E, Table E103.3(2)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Water-Supply Fixture Units (WSFU) per fixture type.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IPC 2021 App. E, Table E103.3(3)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Hunter's Curve — WSFU → Peak Design Flow; separate flush-tank and flush-valve columns (the flush-valve column begins at 5 WSFU = 15 gpm).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A2540"/>
                <w:sz w:val="18"/>
              </w:rPr>
              <w:t>Interpolation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Piecewise-linear between tabulated points; proportional scaling below the smallest WSFU.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2.  Design Inputs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System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Cold + Hot + Combined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Hunter's Curve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Flush Tank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Building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Test Tower — 248 apartments + podium amenities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Location / stage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Dubai Marina, Dubai, UAE · RIBA Stage 3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Cold — WSFU / design flow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1910.2  ·  19.8698 L/s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Hot — WSFU / design flow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1590.2  ·  17.6087 L/s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Combined — WSFU / design flow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2887.2  ·  26.5637 L/s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3.  Design Assumptions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IPC 2021 Table E103.3(2) water-supply fixture units. Residential WCs are flush-tank. Bathroom groups are the packaged private flush-tank row (combined / cold / hot as printed in the library). WC + lavatory + shower are not added on top of a bathroom group.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Hunter's curve is the flush-tank column of IPC 2021 Table E103.3(3). Piecewise-linear interpolation between tabulated points.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Typical-floor count: 88 x 1BR (1 bathroom group), 112 x 2BR (2 bathroom groups), 48 x 3BR (3 bathroom groups). Each apartment also has one private kitchen sink, one residential dishwasher and one 8 lb washing machine.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Podium fixtures (public WCs, urinals, lavatories, commercial kitchen sinks, gym showers, hose bibbs, mop sinks) are added at the building riser total. Diversity is the Hunter curve, not a second factor.</w:t>
      </w:r>
    </w:p>
    <w:p>
      <w:pPr>
        <w:pStyle w:val="ListBullet"/>
      </w:pPr>
      <w:r>
        <w:rPr>
          <w:rFonts w:ascii="Calibri" w:hAnsi="Calibri"/>
          <w:color w:val="374151"/>
          <w:sz w:val="18"/>
        </w:rPr>
        <w:t>Design flow reported here is the combined (cold + hot) Hunter flow used to size the main. Cold-only and hot-only flows are printed as reference rows.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4.  Step-by-Step Calculation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1:  Sum water-supply fixture units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WSFU_total = Sigma (WSFU_unit x quantity)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Library row x apartment / podium count, combined column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Combined WSFU = 2887.20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Cold 1910.20  ·  Hot 1590.20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60"/>
      </w:tblGrid>
      <w:tr>
        <w:tc>
          <w:tcPr>
            <w:tcW w:type="dxa" w:w="9360"/>
            <w:shd w:val="clear" w:color="auto" w:fill="0A2540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20"/>
              </w:rPr>
              <w:t xml:space="preserve">  Step 2:  Hunter flush-tank interpolation (IPC Table E103.3(3))</w:t>
            </w:r>
          </w:p>
        </w:tc>
      </w:tr>
      <w:tr>
        <w:tc>
          <w:tcPr>
            <w:tcW w:type="dxa" w:w="9360"/>
            <w:shd w:val="clear" w:color="auto" w:fill="CCF0FA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0B3D91"/>
                <w:sz w:val="18"/>
              </w:rPr>
              <w:t xml:space="preserve">  Formula:        Q = interpolate(WSFU, flush-tank column)</w:t>
            </w:r>
          </w:p>
        </w:tc>
      </w:tr>
      <w:tr>
        <w:tc>
          <w:tcPr>
            <w:tcW w:type="dxa" w:w="9360"/>
            <w:shd w:val="clear" w:color="auto" w:fill="FFFFFF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 w:val="0"/>
                <w:color w:val="374151"/>
                <w:sz w:val="18"/>
              </w:rPr>
              <w:t xml:space="preserve">  Substitution:  WSFU_combined = 2887.20</w:t>
            </w:r>
          </w:p>
        </w:tc>
      </w:tr>
      <w:tr>
        <w:tc>
          <w:tcPr>
            <w:tcW w:type="dxa" w:w="9360"/>
            <w:shd w:val="clear" w:color="auto" w:fill="E8F8FD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/>
                <w:i w:val="0"/>
                <w:color w:val="0A2540"/>
                <w:sz w:val="20"/>
              </w:rPr>
              <w:t xml:space="preserve">  Result:          Q_combined = 26.5637 L/s  (421.04 GPM)</w:t>
            </w:r>
          </w:p>
        </w:tc>
      </w:tr>
      <w:tr>
        <w:tc>
          <w:tcPr>
            <w:tcW w:type="dxa" w:w="9360"/>
            <w:shd w:val="clear" w:color="auto" w:fill="FFF8E7"/>
            <w:tcMar>
              <w:top w:w="80" w:type="dxa"/>
              <w:bottom w:w="80" w:type="dxa"/>
              <w:left w:w="80" w:type="dxa"/>
              <w:right w:w="80" w:type="dxa"/>
            </w:tcMar>
          </w:tcPr>
          <w:p>
            <w:r>
              <w:rPr>
                <w:rFonts w:ascii="Calibri" w:hAnsi="Calibri"/>
                <w:b w:val="0"/>
                <w:i/>
                <w:color w:val="6B7280"/>
                <w:sz w:val="16"/>
              </w:rPr>
              <w:t xml:space="preserve">  Note: Cold 19.8698 L/s  ·  Hot 17.6087 L/s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5. 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4680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Value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Total WSFU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2887.20</w:t>
            </w:r>
          </w:p>
        </w:tc>
      </w:tr>
      <w:tr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>Design flow</w:t>
            </w:r>
          </w:p>
        </w:tc>
        <w:tc>
          <w:tcPr>
            <w:tcW w:type="dxa" w:w="4680"/>
            <w:shd w:val="clear" w:color="auto" w:fill="FFFFFF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26.5637 L/s</w:t>
            </w:r>
          </w:p>
        </w:tc>
      </w:tr>
      <w:tr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 w:val="0"/>
                <w:i w:val="0"/>
                <w:sz w:val="18"/>
              </w:rPr>
              <w:t xml:space="preserve">  (equivalent)</w:t>
            </w:r>
          </w:p>
        </w:tc>
        <w:tc>
          <w:tcPr>
            <w:tcW w:type="dxa" w:w="4680"/>
            <w:shd w:val="clear" w:color="auto" w:fill="EFF9FC"/>
          </w:tcPr>
          <w:p>
            <w:pPr>
              <w:jc w:val="lef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421.04 GPM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6.  Hunter's Curve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3516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unter_curve_SI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516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Calibri" w:hAnsi="Calibri"/>
          <w:i/>
          <w:color w:val="374151"/>
          <w:sz w:val="18"/>
        </w:rPr>
        <w:t>IPC 2021 Table E103.3(3) flush-tank Hunter curve with the cold, hot and combined operating points for Test Tower.</w:t>
      </w:r>
    </w:p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7.  Fixture Schedule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type="dxa" w:w="1872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#</w:t>
            </w:r>
          </w:p>
        </w:tc>
        <w:tc>
          <w:tcPr>
            <w:tcW w:type="dxa" w:w="1872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Fixture</w:t>
            </w:r>
          </w:p>
        </w:tc>
        <w:tc>
          <w:tcPr>
            <w:tcW w:type="dxa" w:w="1872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WSFU / unit</w:t>
            </w:r>
          </w:p>
        </w:tc>
        <w:tc>
          <w:tcPr>
            <w:tcW w:type="dxa" w:w="1872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Qty</w:t>
            </w:r>
          </w:p>
        </w:tc>
        <w:tc>
          <w:tcPr>
            <w:tcW w:type="dxa" w:w="1872"/>
            <w:shd w:val="clear" w:color="auto" w:fill="0A254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WSFU total</w:t>
            </w:r>
          </w:p>
        </w:tc>
      </w:tr>
      <w:tr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1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Bathroom Group — Flush Tank (Private)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3.600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456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1641.600</w:t>
            </w:r>
          </w:p>
        </w:tc>
      </w:tr>
      <w:tr>
        <w:tc>
          <w:tcPr>
            <w:tcW w:type="dxa" w:w="1872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2</w:t>
            </w:r>
          </w:p>
        </w:tc>
        <w:tc>
          <w:tcPr>
            <w:tcW w:type="dxa" w:w="1872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Kitchen Sink (Private/Residential)</w:t>
            </w:r>
          </w:p>
        </w:tc>
        <w:tc>
          <w:tcPr>
            <w:tcW w:type="dxa" w:w="1872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1.400</w:t>
            </w:r>
          </w:p>
        </w:tc>
        <w:tc>
          <w:tcPr>
            <w:tcW w:type="dxa" w:w="1872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248</w:t>
            </w:r>
          </w:p>
        </w:tc>
        <w:tc>
          <w:tcPr>
            <w:tcW w:type="dxa" w:w="1872"/>
            <w:shd w:val="clear" w:color="auto" w:fill="FFFFFF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347.200</w:t>
            </w:r>
          </w:p>
        </w:tc>
      </w:tr>
      <w:tr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3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Dishwasher (Residential)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1.400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248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347.200</w:t>
            </w:r>
          </w:p>
        </w:tc>
      </w:tr>
      <w:tr>
        <w:tc>
          <w:tcPr>
            <w:tcW w:type="dxa" w:w="1872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4</w:t>
            </w:r>
          </w:p>
        </w:tc>
        <w:tc>
          <w:tcPr>
            <w:tcW w:type="dxa" w:w="1872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Washing Machine 8 lb (Private)</w:t>
            </w:r>
          </w:p>
        </w:tc>
        <w:tc>
          <w:tcPr>
            <w:tcW w:type="dxa" w:w="1872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1.400</w:t>
            </w:r>
          </w:p>
        </w:tc>
        <w:tc>
          <w:tcPr>
            <w:tcW w:type="dxa" w:w="1872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248</w:t>
            </w:r>
          </w:p>
        </w:tc>
        <w:tc>
          <w:tcPr>
            <w:tcW w:type="dxa" w:w="1872"/>
            <w:shd w:val="clear" w:color="auto" w:fill="FFFFFF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347.200</w:t>
            </w:r>
          </w:p>
        </w:tc>
      </w:tr>
      <w:tr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5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WC — Flush Tank (Public)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5.000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12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60.000</w:t>
            </w:r>
          </w:p>
        </w:tc>
      </w:tr>
      <w:tr>
        <w:tc>
          <w:tcPr>
            <w:tcW w:type="dxa" w:w="1872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6</w:t>
            </w:r>
          </w:p>
        </w:tc>
        <w:tc>
          <w:tcPr>
            <w:tcW w:type="dxa" w:w="1872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Urinal — Flush Valve ¾"</w:t>
            </w:r>
          </w:p>
        </w:tc>
        <w:tc>
          <w:tcPr>
            <w:tcW w:type="dxa" w:w="1872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5.000</w:t>
            </w:r>
          </w:p>
        </w:tc>
        <w:tc>
          <w:tcPr>
            <w:tcW w:type="dxa" w:w="1872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8</w:t>
            </w:r>
          </w:p>
        </w:tc>
        <w:tc>
          <w:tcPr>
            <w:tcW w:type="dxa" w:w="1872"/>
            <w:shd w:val="clear" w:color="auto" w:fill="FFFFFF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40.000</w:t>
            </w:r>
          </w:p>
        </w:tc>
      </w:tr>
      <w:tr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7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Lavatory (Public)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2.000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16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32.000</w:t>
            </w:r>
          </w:p>
        </w:tc>
      </w:tr>
      <w:tr>
        <w:tc>
          <w:tcPr>
            <w:tcW w:type="dxa" w:w="1872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8</w:t>
            </w:r>
          </w:p>
        </w:tc>
        <w:tc>
          <w:tcPr>
            <w:tcW w:type="dxa" w:w="1872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Kitchen Sink (Commercial)</w:t>
            </w:r>
          </w:p>
        </w:tc>
        <w:tc>
          <w:tcPr>
            <w:tcW w:type="dxa" w:w="1872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4.000</w:t>
            </w:r>
          </w:p>
        </w:tc>
        <w:tc>
          <w:tcPr>
            <w:tcW w:type="dxa" w:w="1872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</w:t>
            </w:r>
          </w:p>
        </w:tc>
        <w:tc>
          <w:tcPr>
            <w:tcW w:type="dxa" w:w="1872"/>
            <w:shd w:val="clear" w:color="auto" w:fill="FFFFFF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16.000</w:t>
            </w:r>
          </w:p>
        </w:tc>
      </w:tr>
      <w:tr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9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Shower (Public / Locker Room)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4.000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6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24.000</w:t>
            </w:r>
          </w:p>
        </w:tc>
      </w:tr>
      <w:tr>
        <w:tc>
          <w:tcPr>
            <w:tcW w:type="dxa" w:w="1872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10</w:t>
            </w:r>
          </w:p>
        </w:tc>
        <w:tc>
          <w:tcPr>
            <w:tcW w:type="dxa" w:w="1872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Hose Bibb (each)</w:t>
            </w:r>
          </w:p>
        </w:tc>
        <w:tc>
          <w:tcPr>
            <w:tcW w:type="dxa" w:w="1872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2.500</w:t>
            </w:r>
          </w:p>
        </w:tc>
        <w:tc>
          <w:tcPr>
            <w:tcW w:type="dxa" w:w="1872"/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8</w:t>
            </w:r>
          </w:p>
        </w:tc>
        <w:tc>
          <w:tcPr>
            <w:tcW w:type="dxa" w:w="1872"/>
            <w:shd w:val="clear" w:color="auto" w:fill="FFFFFF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20.000</w:t>
            </w:r>
          </w:p>
        </w:tc>
      </w:tr>
      <w:tr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sz w:val="18"/>
              </w:rPr>
              <w:t>11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Service / Mop Sink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3.000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18"/>
              </w:rPr>
              <w:t>4</w:t>
            </w:r>
          </w:p>
        </w:tc>
        <w:tc>
          <w:tcPr>
            <w:tcW w:type="dxa" w:w="1872"/>
            <w:shd w:val="clear" w:color="auto" w:fill="EFF9FC"/>
          </w:tcPr>
          <w:p>
            <w:pPr>
              <w:jc w:val="right"/>
            </w:pPr>
            <w:r>
              <w:rPr>
                <w:rFonts w:ascii="Calibri" w:hAnsi="Calibri"/>
                <w:b/>
                <w:i w:val="0"/>
                <w:color w:val="0B3D91"/>
                <w:sz w:val="18"/>
              </w:rPr>
              <w:t>12.000</w:t>
            </w:r>
          </w:p>
        </w:tc>
      </w:tr>
    </w:tbl>
    <w:p/>
    <w:p>
      <w:pPr>
        <w:pStyle w:val="Heading1"/>
        <w:pBdr>
          <w:bottom w:val="single" w:sz="6" w:space="4" w:color="0A2540"/>
        </w:pBdr>
      </w:pPr>
      <w:r>
        <w:rPr>
          <w:rFonts w:ascii="Calibri" w:hAnsi="Calibri"/>
          <w:b/>
          <w:color w:val="0A2540"/>
          <w:sz w:val="26"/>
        </w:rPr>
        <w:t>R.  Reference Standards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IPC 2021 Appendix E, Table E103.3(2) — Water-Supply Fixture Units (WSFU) per fixture type (private / public variants, cold / hot / combined).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IPC 2021 Appendix E, Table E103.3(3) — Hunter's Curve, WSFU → Peak Design Flow (GPM); separate flush-tank and flush-valve columns (the flush-valve column begins at 5 WSFU = 15 gpm).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Interpolation between tabulated points is piecewise-linear; below the smallest tabulated WSFU, a proportional scaling from the first point is used.</w:t>
      </w:r>
    </w:p>
    <w:p>
      <w:pPr>
        <w:pStyle w:val="ListBullet"/>
      </w:pPr>
      <w:r>
        <w:rPr>
          <w:rFonts w:ascii="Calibri" w:hAnsi="Calibri"/>
          <w:b/>
          <w:color w:val="0A2540"/>
          <w:sz w:val="18"/>
        </w:rPr>
        <w:t>Library values (fixture WSFU assignments and curve points) may have been user-edited via the in-tool Library editor.  Verify each plugged-in value against the governing edition before issuing for construction.</w:t>
      </w:r>
    </w:p>
    <w:p>
      <w:r>
        <w:rPr>
          <w:rFonts w:ascii="Calibri" w:hAnsi="Calibri"/>
          <w:i/>
          <w:color w:val="B45309"/>
          <w:sz w:val="16"/>
        </w:rPr>
        <w:t>Library: user-edited overrides are active (file: C:\Users\enghu\AppData\Roaming\MEP Suite\16a\custom_ipc_tables.json).</w:t>
      </w:r>
    </w:p>
    <w:p>
      <w:r>
        <w:rPr>
          <w:rFonts w:ascii="Calibri" w:hAnsi="Calibri"/>
          <w:i/>
          <w:color w:val="6B7280"/>
          <w:sz w:val="16"/>
        </w:rPr>
        <w:t>Engineer of record: Hussein Ragab</w:t>
      </w:r>
    </w:p>
    <w:p>
      <w:r>
        <w:rPr>
          <w:rFonts w:ascii="Calibri" w:hAnsi="Calibri"/>
          <w:i/>
          <w:color w:val="6B7280"/>
          <w:sz w:val="16"/>
        </w:rPr>
        <w:t>IPC Fixture Calculator  ·  IPC 2021 Table E103.3  ·  Water Supply Calculations Suite</w:t>
      </w:r>
    </w:p>
    <w:sectPr w:rsidR="00FC693F" w:rsidRPr="0006063C" w:rsidSect="00034616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6B7280"/>
        <w:sz w:val="16"/>
      </w:rPr>
      <w:t xml:space="preserve">Page </w:t>
    </w:r>
    <w:r>
      <w:rPr>
        <w:rFonts w:ascii="Calibri" w:hAnsi="Calibri"/>
        <w:color w:val="6B7280"/>
        <w:sz w:val="16"/>
      </w:rPr>
      <w:fldChar w:fldCharType="begin"/>
      <w:instrText>PAGE</w:instrText>
      <w:fldChar w:fldCharType="end"/>
    </w:r>
    <w:r>
      <w:rPr>
        <w:rFonts w:ascii="Calibri" w:hAnsi="Calibri"/>
        <w:color w:val="6B7280"/>
        <w:sz w:val="16"/>
      </w:rPr>
      <w:t xml:space="preserve"> of </w:t>
    </w:r>
    <w:r>
      <w:rPr>
        <w:rFonts w:ascii="Calibri" w:hAnsi="Calibri"/>
        <w:color w:val="6B7280"/>
        <w:sz w:val="16"/>
      </w:rPr>
      <w:fldChar w:fldCharType="begin"/>
      <w:instrText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