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360"/>
      </w:tblGrid>
      <w:tr>
        <w:tc>
          <w:tcPr>
            <w:tcW w:type="dxa" w:w="9360"/>
            <w:shd w:val="clear" w:color="auto" w:fill="0A2540"/>
          </w:tcPr>
          <w:p>
            <w:pPr>
              <w:jc w:val="center"/>
            </w:pPr>
            <w:r>
              <w:rPr>
                <w:rFonts w:ascii="Calibri" w:hAnsi="Calibri"/>
                <w:b/>
                <w:color w:val="FFFFFF"/>
                <w:sz w:val="40"/>
              </w:rPr>
              <w:t>Water Treatment Calculation</w:t>
            </w:r>
          </w:p>
        </w:tc>
      </w:tr>
      <w:tr>
        <w:tc>
          <w:tcPr>
            <w:tcW w:type="dxa" w:w="9360"/>
            <w:shd w:val="clear" w:color="auto" w:fill="0D4F6B"/>
          </w:tcPr>
          <w:p>
            <w:pPr>
              <w:jc w:val="center"/>
            </w:pPr>
            <w:r>
              <w:rPr>
                <w:rFonts w:ascii="Calibri" w:hAnsi="Calibri"/>
                <w:b w:val="0"/>
                <w:color w:val="FFFFFF"/>
                <w:sz w:val="24"/>
              </w:rPr>
              <w:t>Hospital water treatment — equipment &amp; pump schedules</w:t>
            </w:r>
          </w:p>
        </w:tc>
      </w:tr>
      <w:tr>
        <w:tc>
          <w:tcPr>
            <w:tcW w:type="dxa" w:w="9360"/>
            <w:shd w:val="clear" w:color="auto" w:fill="1A3A5C"/>
          </w:tcPr>
          <w:p>
            <w:pPr>
              <w:jc w:val="center"/>
            </w:pPr>
            <w:r>
              <w:rPr>
                <w:rFonts w:ascii="Calibri" w:hAnsi="Calibri"/>
                <w:b w:val="0"/>
                <w:color w:val="CCF0FA"/>
                <w:sz w:val="20"/>
              </w:rPr>
              <w:t>Per-application treatment train sizing · catalogue selection where model tables exist, engineered sizing elsewhere</w:t>
            </w:r>
          </w:p>
        </w:tc>
      </w:tr>
    </w:tbl>
    <w:p/>
    <w:tbl>
      <w:tblPr>
        <w:tblStyle w:val="TableGrid"/>
        <w:tblW w:type="auto" w:w="0"/>
        <w:tblLook w:firstColumn="1" w:firstRow="1" w:lastColumn="0" w:lastRow="0" w:noHBand="0" w:noVBand="1" w:val="04A0"/>
      </w:tblPr>
      <w:tblGrid>
        <w:gridCol w:w="4680"/>
        <w:gridCol w:w="4680"/>
      </w:tblGrid>
      <w:tr>
        <w:tc>
          <w:tcPr>
            <w:tcW w:type="dxa" w:w="9360"/>
            <w:gridSpan w:val="2"/>
            <w:shd w:val="clear" w:color="auto" w:fill="0A2540"/>
          </w:tcPr>
          <w:p>
            <w:pPr>
              <w:jc w:val="center"/>
            </w:pPr>
            <w:r>
              <w:rPr>
                <w:rFonts w:ascii="Calibri" w:hAnsi="Calibri"/>
                <w:b/>
                <w:i w:val="0"/>
                <w:color w:val="FFFFFF"/>
                <w:sz w:val="20"/>
              </w:rPr>
              <w:t>Project Information</w:t>
            </w:r>
          </w:p>
        </w:tc>
      </w:tr>
      <w:tr>
        <w:tc>
          <w:tcPr>
            <w:tcW w:type="dxa" w:w="4680"/>
            <w:shd w:val="clear" w:color="auto" w:fill="EFF9FC"/>
          </w:tcPr>
          <w:p>
            <w:pPr>
              <w:jc w:val="left"/>
            </w:pPr>
            <w:r>
              <w:rPr>
                <w:rFonts w:ascii="Calibri" w:hAnsi="Calibri"/>
                <w:b/>
                <w:i w:val="0"/>
                <w:sz w:val="18"/>
              </w:rPr>
              <w:t>Project Name</w:t>
            </w:r>
          </w:p>
        </w:tc>
        <w:tc>
          <w:tcPr>
            <w:tcW w:type="dxa" w:w="4680"/>
            <w:shd w:val="clear" w:color="auto" w:fill="EFF9FC"/>
          </w:tcPr>
          <w:p>
            <w:pPr>
              <w:jc w:val="left"/>
            </w:pPr>
            <w:r>
              <w:rPr>
                <w:rFonts w:ascii="Calibri" w:hAnsi="Calibri"/>
                <w:b w:val="0"/>
                <w:i w:val="0"/>
                <w:color w:val="0B3D91"/>
                <w:sz w:val="18"/>
              </w:rPr>
              <w:t>Marina Commercial Tower</w:t>
            </w:r>
          </w:p>
        </w:tc>
      </w:tr>
      <w:tr>
        <w:tc>
          <w:tcPr>
            <w:tcW w:type="dxa" w:w="4680"/>
            <w:shd w:val="clear" w:color="auto" w:fill="FFFFFF"/>
          </w:tcPr>
          <w:p>
            <w:pPr>
              <w:jc w:val="left"/>
            </w:pPr>
            <w:r>
              <w:rPr>
                <w:rFonts w:ascii="Calibri" w:hAnsi="Calibri"/>
                <w:b/>
                <w:i w:val="0"/>
                <w:sz w:val="18"/>
              </w:rPr>
              <w:t>Project No.</w:t>
            </w:r>
          </w:p>
        </w:tc>
        <w:tc>
          <w:tcPr>
            <w:tcW w:type="dxa" w:w="4680"/>
            <w:shd w:val="clear" w:color="auto" w:fill="FFFFFF"/>
          </w:tcPr>
          <w:p>
            <w:pPr>
              <w:jc w:val="left"/>
            </w:pPr>
            <w:r>
              <w:rPr>
                <w:rFonts w:ascii="Calibri" w:hAnsi="Calibri"/>
                <w:b w:val="0"/>
                <w:i w:val="0"/>
                <w:color w:val="0B3D91"/>
                <w:sz w:val="18"/>
              </w:rPr>
              <w:t>MCT-2026-MEP-001</w:t>
            </w:r>
          </w:p>
        </w:tc>
      </w:tr>
      <w:tr>
        <w:tc>
          <w:tcPr>
            <w:tcW w:type="dxa" w:w="4680"/>
            <w:shd w:val="clear" w:color="auto" w:fill="EFF9FC"/>
          </w:tcPr>
          <w:p>
            <w:pPr>
              <w:jc w:val="left"/>
            </w:pPr>
            <w:r>
              <w:rPr>
                <w:rFonts w:ascii="Calibri" w:hAnsi="Calibri"/>
                <w:b/>
                <w:i w:val="0"/>
                <w:sz w:val="18"/>
              </w:rPr>
              <w:t>Revision</w:t>
            </w:r>
          </w:p>
        </w:tc>
        <w:tc>
          <w:tcPr>
            <w:tcW w:type="dxa" w:w="4680"/>
            <w:shd w:val="clear" w:color="auto" w:fill="EFF9FC"/>
          </w:tcPr>
          <w:p>
            <w:pPr>
              <w:jc w:val="left"/>
            </w:pPr>
            <w:r>
              <w:rPr>
                <w:rFonts w:ascii="Calibri" w:hAnsi="Calibri"/>
                <w:b w:val="0"/>
                <w:i w:val="0"/>
                <w:color w:val="0B3D91"/>
                <w:sz w:val="18"/>
              </w:rPr>
              <w:t>P2</w:t>
            </w:r>
          </w:p>
        </w:tc>
      </w:tr>
      <w:tr>
        <w:tc>
          <w:tcPr>
            <w:tcW w:type="dxa" w:w="4680"/>
            <w:shd w:val="clear" w:color="auto" w:fill="FFFFFF"/>
          </w:tcPr>
          <w:p>
            <w:pPr>
              <w:jc w:val="left"/>
            </w:pPr>
            <w:r>
              <w:rPr>
                <w:rFonts w:ascii="Calibri" w:hAnsi="Calibri"/>
                <w:b/>
                <w:i w:val="0"/>
                <w:sz w:val="18"/>
              </w:rPr>
              <w:t>Client</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Prepared by</w:t>
            </w:r>
          </w:p>
        </w:tc>
        <w:tc>
          <w:tcPr>
            <w:tcW w:type="dxa" w:w="4680"/>
            <w:shd w:val="clear" w:color="auto" w:fill="EFF9FC"/>
          </w:tcPr>
          <w:p>
            <w:pPr>
              <w:jc w:val="left"/>
            </w:pPr>
            <w:r>
              <w:rPr>
                <w:rFonts w:ascii="Calibri" w:hAnsi="Calibri"/>
                <w:b w:val="0"/>
                <w:i w:val="0"/>
                <w:color w:val="0B3D91"/>
                <w:sz w:val="18"/>
              </w:rPr>
              <w:t>Hussein Ragab</w:t>
            </w:r>
          </w:p>
        </w:tc>
      </w:tr>
      <w:tr>
        <w:tc>
          <w:tcPr>
            <w:tcW w:type="dxa" w:w="4680"/>
            <w:shd w:val="clear" w:color="auto" w:fill="FFFFFF"/>
          </w:tcPr>
          <w:p>
            <w:pPr>
              <w:jc w:val="left"/>
            </w:pPr>
            <w:r>
              <w:rPr>
                <w:rFonts w:ascii="Calibri" w:hAnsi="Calibri"/>
                <w:b/>
                <w:i w:val="0"/>
                <w:sz w:val="18"/>
              </w:rPr>
              <w:t>Checked by</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Date</w:t>
            </w:r>
          </w:p>
        </w:tc>
        <w:tc>
          <w:tcPr>
            <w:tcW w:type="dxa" w:w="4680"/>
            <w:shd w:val="clear" w:color="auto" w:fill="EFF9FC"/>
          </w:tcPr>
          <w:p>
            <w:pPr>
              <w:jc w:val="left"/>
            </w:pPr>
            <w:r>
              <w:rPr>
                <w:rFonts w:ascii="Calibri" w:hAnsi="Calibri"/>
                <w:b w:val="0"/>
                <w:i w:val="0"/>
                <w:color w:val="0B3D91"/>
                <w:sz w:val="18"/>
              </w:rPr>
              <w:t>2026-10-20</w:t>
            </w:r>
          </w:p>
        </w:tc>
      </w:tr>
    </w:tbl>
    <w:p/>
    <w:p>
      <w:r>
        <w:rPr>
          <w:rFonts w:ascii="Calibri" w:hAnsi="Calibri"/>
          <w:i/>
          <w:color w:val="374151"/>
          <w:sz w:val="18"/>
        </w:rPr>
        <w:t>Values in this report are displayed in SI (metric) units.  Catalogue and standards-native quantities (motor kW, bar, ppm, grains/ft3, gpm/ft3, lb/ft3, DN, um) are printed as their source publishes them and are not converted.</w:t>
      </w:r>
    </w:p>
    <w:p>
      <w:pPr>
        <w:pStyle w:val="Heading1"/>
        <w:pBdr>
          <w:bottom w:val="single" w:sz="6" w:space="4" w:color="0A2540"/>
        </w:pBdr>
      </w:pPr>
      <w:r>
        <w:rPr>
          <w:rFonts w:ascii="Calibri" w:hAnsi="Calibri"/>
          <w:b/>
          <w:color w:val="0A2540"/>
          <w:sz w:val="26"/>
        </w:rPr>
        <w:t>1.  Methodology &amp; Standards</w:t>
      </w:r>
    </w:p>
    <w:p>
      <w:pPr>
        <w:pStyle w:val="ListBullet"/>
      </w:pPr>
      <w:r>
        <w:rPr>
          <w:rFonts w:ascii="Calibri" w:hAnsi="Calibri"/>
          <w:color w:val="374151"/>
          <w:sz w:val="18"/>
        </w:rPr>
        <w:t>Each application is sized LINE BY LINE on the duty flow of that line — circulation on the storage tank, tank-to-tank transfer, and the boosted outgoing distribution. Where a reverse-osmosis stage is present the pre-treatment is sized on the RO FEED flow (permeate divided by recovery), not on the permeate — sizing pre-treatment on the product flow is a systematic under-size. Equipment is selected from the manufacturers' printed model tables where those exist (multimedia and activated-carbon vessels, cartridge housings, copper-silver flow cells); the remaining items are engineered from the cited design rules. Pump duties are built from the EXTERNAL HEAD stated for that line by the engineer — static lift plus pipe, fittings and valves — plus the summed pressure drop of the treatment stages installed on that same line at their dirty / design values, plus a safety margin, then converted to shaft power and a standard motor frame.</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Reference</w:t>
            </w:r>
          </w:p>
        </w:tc>
        <w:tc>
          <w:tcPr>
            <w:tcW w:type="dxa" w:w="4680"/>
            <w:shd w:val="clear" w:color="auto" w:fill="0A2540"/>
          </w:tcPr>
          <w:p>
            <w:pPr>
              <w:jc w:val="center"/>
            </w:pPr>
            <w:r>
              <w:rPr>
                <w:rFonts w:ascii="Calibri" w:hAnsi="Calibri"/>
                <w:b/>
                <w:i w:val="0"/>
                <w:color w:val="FFFFFF"/>
                <w:sz w:val="18"/>
              </w:rPr>
              <w:t>Application</w:t>
            </w:r>
          </w:p>
        </w:tc>
      </w:tr>
      <w:tr>
        <w:tc>
          <w:tcPr>
            <w:tcW w:type="dxa" w:w="4680"/>
            <w:shd w:val="clear" w:color="auto" w:fill="EFF9FC"/>
          </w:tcPr>
          <w:p>
            <w:pPr>
              <w:jc w:val="left"/>
            </w:pPr>
            <w:r>
              <w:rPr>
                <w:rFonts w:ascii="Calibri" w:hAnsi="Calibri"/>
                <w:b/>
                <w:i w:val="0"/>
                <w:color w:val="0A2540"/>
                <w:sz w:val="18"/>
              </w:rPr>
              <w:t>ASPE PEDH Vol 4 (2016) Ch.10 'Water Treatment'</w:t>
            </w:r>
          </w:p>
        </w:tc>
        <w:tc>
          <w:tcPr>
            <w:tcW w:type="dxa" w:w="4680"/>
            <w:shd w:val="clear" w:color="auto" w:fill="EFF9FC"/>
          </w:tcPr>
          <w:p>
            <w:pPr>
              <w:jc w:val="left"/>
            </w:pPr>
            <w:r>
              <w:rPr>
                <w:rFonts w:ascii="Calibri" w:hAnsi="Calibri"/>
                <w:b w:val="0"/>
                <w:i w:val="0"/>
                <w:sz w:val="18"/>
              </w:rPr>
              <w:t>Softener capacity, service rate, bed depth and pressure differential; filter backwash rate, bed expansion and backwash trigger</w:t>
            </w:r>
          </w:p>
        </w:tc>
      </w:tr>
      <w:tr>
        <w:tc>
          <w:tcPr>
            <w:tcW w:type="dxa" w:w="4680"/>
            <w:shd w:val="clear" w:color="auto" w:fill="FFFFFF"/>
          </w:tcPr>
          <w:p>
            <w:pPr>
              <w:jc w:val="left"/>
            </w:pPr>
            <w:r>
              <w:rPr>
                <w:rFonts w:ascii="Calibri" w:hAnsi="Calibri"/>
                <w:b/>
                <w:i w:val="0"/>
                <w:color w:val="0A2540"/>
                <w:sz w:val="18"/>
              </w:rPr>
              <w:t>ASPE PEDH Vol 2 Ch.11 'Water Treatment, Conditioning, and Purification' and Ch.12 'Special Waste Drainage Systems'</w:t>
            </w:r>
          </w:p>
        </w:tc>
        <w:tc>
          <w:tcPr>
            <w:tcW w:type="dxa" w:w="4680"/>
            <w:shd w:val="clear" w:color="auto" w:fill="FFFFFF"/>
          </w:tcPr>
          <w:p>
            <w:pPr>
              <w:jc w:val="left"/>
            </w:pPr>
            <w:r>
              <w:rPr>
                <w:rFonts w:ascii="Calibri" w:hAnsi="Calibri"/>
                <w:b w:val="0"/>
                <w:i w:val="0"/>
                <w:sz w:val="18"/>
              </w:rPr>
              <w:t>Reverse-osmosis recovery definition and practical minimum; chlorine residual range; UV germicidal band; copper-silver optimum concentration (Ch.6 p121); acid-waste neutralisation to pH 5 or higher before discharge, a pH between 7.5 and 5 before any public sewer, and the dilution / limestone-basin / chemical-feed methods (Ch.12 p267, p271, p272). AAMI/ANSI dialysis water quality (Table 11-13) is listed for reference only -- its limits are NOT checked by this tool</w:t>
            </w:r>
          </w:p>
        </w:tc>
      </w:tr>
      <w:tr>
        <w:tc>
          <w:tcPr>
            <w:tcW w:type="dxa" w:w="4680"/>
            <w:shd w:val="clear" w:color="auto" w:fill="EFF9FC"/>
          </w:tcPr>
          <w:p>
            <w:pPr>
              <w:jc w:val="left"/>
            </w:pPr>
            <w:r>
              <w:rPr>
                <w:rFonts w:ascii="Calibri" w:hAnsi="Calibri"/>
                <w:b/>
                <w:i w:val="0"/>
                <w:color w:val="0A2540"/>
                <w:sz w:val="18"/>
              </w:rPr>
              <w:t>BS EN 60034-1:2010</w:t>
            </w:r>
          </w:p>
        </w:tc>
        <w:tc>
          <w:tcPr>
            <w:tcW w:type="dxa" w:w="4680"/>
            <w:shd w:val="clear" w:color="auto" w:fill="EFF9FC"/>
          </w:tcPr>
          <w:p>
            <w:pPr>
              <w:jc w:val="left"/>
            </w:pPr>
            <w:r>
              <w:rPr>
                <w:rFonts w:ascii="Calibri" w:hAnsi="Calibri"/>
                <w:b w:val="0"/>
                <w:i w:val="0"/>
                <w:sz w:val="18"/>
              </w:rPr>
              <w:t>Motor rated output (rated shaft power)</w:t>
            </w:r>
          </w:p>
        </w:tc>
      </w:tr>
      <w:tr>
        <w:tc>
          <w:tcPr>
            <w:tcW w:type="dxa" w:w="4680"/>
            <w:shd w:val="clear" w:color="auto" w:fill="FFFFFF"/>
          </w:tcPr>
          <w:p>
            <w:pPr>
              <w:jc w:val="left"/>
            </w:pPr>
            <w:r>
              <w:rPr>
                <w:rFonts w:ascii="Calibri" w:hAnsi="Calibri"/>
                <w:b/>
                <w:i w:val="0"/>
                <w:color w:val="0A2540"/>
                <w:sz w:val="18"/>
              </w:rPr>
              <w:t>ASHRAE Fundamentals 2021 SI, Ch.33 Table 2</w:t>
            </w:r>
          </w:p>
        </w:tc>
        <w:tc>
          <w:tcPr>
            <w:tcW w:type="dxa" w:w="4680"/>
            <w:shd w:val="clear" w:color="auto" w:fill="FFFFFF"/>
          </w:tcPr>
          <w:p>
            <w:pPr>
              <w:jc w:val="left"/>
            </w:pPr>
            <w:r>
              <w:rPr>
                <w:rFonts w:ascii="Calibri" w:hAnsi="Calibri"/>
                <w:b w:val="0"/>
                <w:i w:val="0"/>
                <w:sz w:val="18"/>
              </w:rPr>
              <w:t>Water density at 20 degC (998.20 kg/m3) for pump power</w:t>
            </w:r>
          </w:p>
        </w:tc>
      </w:tr>
      <w:tr>
        <w:tc>
          <w:tcPr>
            <w:tcW w:type="dxa" w:w="4680"/>
            <w:shd w:val="clear" w:color="auto" w:fill="EFF9FC"/>
          </w:tcPr>
          <w:p>
            <w:pPr>
              <w:jc w:val="left"/>
            </w:pPr>
            <w:r>
              <w:rPr>
                <w:rFonts w:ascii="Calibri" w:hAnsi="Calibri"/>
                <w:b/>
                <w:i w:val="0"/>
                <w:color w:val="0A2540"/>
                <w:sz w:val="18"/>
              </w:rPr>
              <w:t>Media filters -- typical market data (catalogue-derived envelope)</w:t>
            </w:r>
          </w:p>
        </w:tc>
        <w:tc>
          <w:tcPr>
            <w:tcW w:type="dxa" w:w="4680"/>
            <w:shd w:val="clear" w:color="auto" w:fill="EFF9FC"/>
          </w:tcPr>
          <w:p>
            <w:pPr>
              <w:jc w:val="left"/>
            </w:pPr>
            <w:r>
              <w:rPr>
                <w:rFonts w:ascii="Calibri" w:hAnsi="Calibri"/>
                <w:b w:val="0"/>
                <w:i w:val="0"/>
                <w:sz w:val="18"/>
              </w:rPr>
              <w:t>Multimedia / activated-carbon size ladder; service 20 m/h, backwash 30 m/h. Generic sizes reflecting real market availability -- no vendor selection is implied</w:t>
            </w:r>
          </w:p>
        </w:tc>
      </w:tr>
      <w:tr>
        <w:tc>
          <w:tcPr>
            <w:tcW w:type="dxa" w:w="4680"/>
            <w:shd w:val="clear" w:color="auto" w:fill="FFFFFF"/>
          </w:tcPr>
          <w:p>
            <w:pPr>
              <w:jc w:val="left"/>
            </w:pPr>
            <w:r>
              <w:rPr>
                <w:rFonts w:ascii="Calibri" w:hAnsi="Calibri"/>
                <w:b/>
                <w:i w:val="0"/>
                <w:color w:val="0A2540"/>
                <w:sz w:val="18"/>
              </w:rPr>
              <w:t>Project design narrative (Water Treatment Presentation)</w:t>
            </w:r>
          </w:p>
        </w:tc>
        <w:tc>
          <w:tcPr>
            <w:tcW w:type="dxa" w:w="4680"/>
            <w:shd w:val="clear" w:color="auto" w:fill="FFFFFF"/>
          </w:tcPr>
          <w:p>
            <w:pPr>
              <w:jc w:val="left"/>
            </w:pPr>
            <w:r>
              <w:rPr>
                <w:rFonts w:ascii="Calibri" w:hAnsi="Calibri"/>
                <w:b w:val="0"/>
                <w:i w:val="0"/>
                <w:sz w:val="18"/>
              </w:rPr>
              <w:t>Treatment train process order and per-application RO duty</w:t>
            </w:r>
          </w:p>
        </w:tc>
      </w:tr>
    </w:tbl>
    <w:p/>
    <w:p>
      <w:pPr>
        <w:pStyle w:val="Heading1"/>
        <w:pBdr>
          <w:bottom w:val="single" w:sz="6" w:space="4" w:color="0A2540"/>
        </w:pBdr>
      </w:pPr>
      <w:r>
        <w:rPr>
          <w:rFonts w:ascii="Calibri" w:hAnsi="Calibri"/>
          <w:b/>
          <w:color w:val="0A2540"/>
          <w:sz w:val="26"/>
        </w:rPr>
        <w:t>2.  Design Inputs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Raw water analysis</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Total hardness (as CaCO3)</w:t>
            </w:r>
          </w:p>
        </w:tc>
        <w:tc>
          <w:tcPr>
            <w:tcW w:type="dxa" w:w="4680"/>
            <w:shd w:val="clear" w:color="auto" w:fill="EFF9FC"/>
          </w:tcPr>
          <w:p>
            <w:pPr>
              <w:jc w:val="left"/>
            </w:pPr>
            <w:r>
              <w:rPr>
                <w:rFonts w:ascii="Calibri" w:hAnsi="Calibri"/>
                <w:b/>
                <w:i w:val="0"/>
                <w:color w:val="0B3D91"/>
                <w:sz w:val="18"/>
              </w:rPr>
              <w:t>150.0 mg/L</w:t>
            </w:r>
          </w:p>
        </w:tc>
      </w:tr>
      <w:tr>
        <w:tc>
          <w:tcPr>
            <w:tcW w:type="dxa" w:w="4680"/>
            <w:shd w:val="clear" w:color="auto" w:fill="FFFFFF"/>
          </w:tcPr>
          <w:p>
            <w:pPr>
              <w:jc w:val="left"/>
            </w:pPr>
            <w:r>
              <w:rPr>
                <w:rFonts w:ascii="Calibri" w:hAnsi="Calibri"/>
                <w:b w:val="0"/>
                <w:i w:val="0"/>
                <w:sz w:val="18"/>
              </w:rPr>
              <w:t>Feed TDS</w:t>
            </w:r>
          </w:p>
        </w:tc>
        <w:tc>
          <w:tcPr>
            <w:tcW w:type="dxa" w:w="4680"/>
            <w:shd w:val="clear" w:color="auto" w:fill="FFFFFF"/>
          </w:tcPr>
          <w:p>
            <w:pPr>
              <w:jc w:val="left"/>
            </w:pPr>
            <w:r>
              <w:rPr>
                <w:rFonts w:ascii="Calibri" w:hAnsi="Calibri"/>
                <w:b/>
                <w:i w:val="0"/>
                <w:color w:val="0B3D91"/>
                <w:sz w:val="18"/>
              </w:rPr>
              <w:t>300 ppm</w:t>
            </w:r>
          </w:p>
        </w:tc>
      </w:tr>
      <w:tr>
        <w:tc>
          <w:tcPr>
            <w:tcW w:type="dxa" w:w="4680"/>
            <w:shd w:val="clear" w:color="auto" w:fill="EFF9FC"/>
          </w:tcPr>
          <w:p>
            <w:pPr>
              <w:jc w:val="left"/>
            </w:pPr>
            <w:r>
              <w:rPr>
                <w:rFonts w:ascii="Calibri" w:hAnsi="Calibri"/>
                <w:b w:val="0"/>
                <w:i w:val="0"/>
                <w:sz w:val="18"/>
              </w:rPr>
              <w:t>UV transmittance</w:t>
            </w:r>
          </w:p>
        </w:tc>
        <w:tc>
          <w:tcPr>
            <w:tcW w:type="dxa" w:w="4680"/>
            <w:shd w:val="clear" w:color="auto" w:fill="EFF9FC"/>
          </w:tcPr>
          <w:p>
            <w:pPr>
              <w:jc w:val="left"/>
            </w:pPr>
            <w:r>
              <w:rPr>
                <w:rFonts w:ascii="Calibri" w:hAnsi="Calibri"/>
                <w:b/>
                <w:i w:val="0"/>
                <w:color w:val="0B3D91"/>
                <w:sz w:val="18"/>
              </w:rPr>
              <w:t>95 %</w:t>
            </w:r>
          </w:p>
        </w:tc>
      </w:tr>
    </w:tbl>
    <w:p/>
    <w:p>
      <w:r>
        <w:rPr>
          <w:rFonts w:ascii="Calibri" w:hAnsi="Calibri"/>
          <w:b/>
          <w:color w:val="0A2540"/>
          <w:sz w:val="22"/>
        </w:rPr>
        <w:t>Applications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Application</w:t>
            </w:r>
          </w:p>
        </w:tc>
        <w:tc>
          <w:tcPr>
            <w:tcW w:type="dxa" w:w="4680"/>
            <w:shd w:val="clear" w:color="auto" w:fill="0A2540"/>
          </w:tcPr>
          <w:p>
            <w:pPr>
              <w:jc w:val="center"/>
            </w:pPr>
            <w:r>
              <w:rPr>
                <w:rFonts w:ascii="Calibri" w:hAnsi="Calibri"/>
                <w:b/>
                <w:i w:val="0"/>
                <w:color w:val="FFFFFF"/>
                <w:sz w:val="18"/>
              </w:rPr>
              <w:t>Duty · stages per line</w:t>
            </w:r>
          </w:p>
        </w:tc>
      </w:tr>
      <w:tr>
        <w:tc>
          <w:tcPr>
            <w:tcW w:type="dxa" w:w="4680"/>
            <w:shd w:val="clear" w:color="auto" w:fill="EFF9FC"/>
          </w:tcPr>
          <w:p>
            <w:pPr>
              <w:jc w:val="left"/>
            </w:pPr>
            <w:r>
              <w:rPr>
                <w:rFonts w:ascii="Calibri" w:hAnsi="Calibri"/>
                <w:b w:val="0"/>
                <w:i w:val="0"/>
                <w:sz w:val="18"/>
              </w:rPr>
              <w:t>WT01 Domestic water</w:t>
            </w:r>
          </w:p>
        </w:tc>
        <w:tc>
          <w:tcPr>
            <w:tcW w:type="dxa" w:w="4680"/>
            <w:shd w:val="clear" w:color="auto" w:fill="EFF9FC"/>
          </w:tcPr>
          <w:p>
            <w:pPr>
              <w:jc w:val="left"/>
            </w:pPr>
            <w:r>
              <w:rPr>
                <w:rFonts w:ascii="Calibri" w:hAnsi="Calibri"/>
                <w:b/>
                <w:i w:val="0"/>
                <w:color w:val="0B3D91"/>
                <w:sz w:val="18"/>
              </w:rPr>
              <w:t>2.60 L/s product · 150.00 m³/day · loop: Chlorine · transfer: MMF -&gt; Softener -&gt; Carbon</w:t>
            </w:r>
          </w:p>
        </w:tc>
      </w:tr>
    </w:tbl>
    <w:p/>
    <w:p>
      <w:r>
        <w:rPr>
          <w:rFonts w:ascii="Calibri" w:hAnsi="Calibri"/>
          <w:b/>
          <w:color w:val="0A2540"/>
          <w:sz w:val="22"/>
        </w:rPr>
        <w:t>Line hydraulics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Application / line</w:t>
            </w:r>
          </w:p>
        </w:tc>
        <w:tc>
          <w:tcPr>
            <w:tcW w:type="dxa" w:w="4680"/>
            <w:shd w:val="clear" w:color="auto" w:fill="0A2540"/>
          </w:tcPr>
          <w:p>
            <w:pPr>
              <w:jc w:val="center"/>
            </w:pPr>
            <w:r>
              <w:rPr>
                <w:rFonts w:ascii="Calibri" w:hAnsi="Calibri"/>
                <w:b/>
                <w:i w:val="0"/>
                <w:color w:val="FFFFFF"/>
                <w:sz w:val="18"/>
              </w:rPr>
              <w:t>Duty flow · head</w:t>
            </w:r>
          </w:p>
        </w:tc>
      </w:tr>
      <w:tr>
        <w:tc>
          <w:tcPr>
            <w:tcW w:type="dxa" w:w="4680"/>
            <w:shd w:val="clear" w:color="auto" w:fill="EFF9FC"/>
          </w:tcPr>
          <w:p>
            <w:pPr>
              <w:jc w:val="left"/>
            </w:pPr>
            <w:r>
              <w:rPr>
                <w:rFonts w:ascii="Calibri" w:hAnsi="Calibri"/>
                <w:b w:val="0"/>
                <w:i w:val="0"/>
                <w:sz w:val="18"/>
              </w:rPr>
              <w:t>WT01 Domestic water — Loop</w:t>
            </w:r>
          </w:p>
        </w:tc>
        <w:tc>
          <w:tcPr>
            <w:tcW w:type="dxa" w:w="4680"/>
            <w:shd w:val="clear" w:color="auto" w:fill="EFF9FC"/>
          </w:tcPr>
          <w:p>
            <w:pPr>
              <w:jc w:val="left"/>
            </w:pPr>
            <w:r>
              <w:rPr>
                <w:rFonts w:ascii="Calibri" w:hAnsi="Calibri"/>
                <w:b/>
                <w:i w:val="0"/>
                <w:color w:val="0B3D91"/>
                <w:sz w:val="18"/>
              </w:rPr>
              <w:t>3.47 L/s (tank turnover) · external head 8.00 m (user input, excludes tool-selected equipment) · stage pressure drop 0.00 bar</w:t>
            </w:r>
          </w:p>
        </w:tc>
      </w:tr>
      <w:tr>
        <w:tc>
          <w:tcPr>
            <w:tcW w:type="dxa" w:w="4680"/>
            <w:shd w:val="clear" w:color="auto" w:fill="FFFFFF"/>
          </w:tcPr>
          <w:p>
            <w:pPr>
              <w:jc w:val="left"/>
            </w:pPr>
            <w:r>
              <w:rPr>
                <w:rFonts w:ascii="Calibri" w:hAnsi="Calibri"/>
                <w:b w:val="0"/>
                <w:i w:val="0"/>
                <w:sz w:val="18"/>
              </w:rPr>
              <w:t>WT01 Domestic water — Transfer</w:t>
            </w:r>
          </w:p>
        </w:tc>
        <w:tc>
          <w:tcPr>
            <w:tcW w:type="dxa" w:w="4680"/>
            <w:shd w:val="clear" w:color="auto" w:fill="FFFFFF"/>
          </w:tcPr>
          <w:p>
            <w:pPr>
              <w:jc w:val="left"/>
            </w:pPr>
            <w:r>
              <w:rPr>
                <w:rFonts w:ascii="Calibri" w:hAnsi="Calibri"/>
                <w:b/>
                <w:i w:val="0"/>
                <w:color w:val="0B3D91"/>
                <w:sz w:val="18"/>
              </w:rPr>
              <w:t>2.60 L/s (tank fill time) · external head 8.00 m (user input, excludes tool-selected equipment) · stage pressure drop 2.42 bar</w:t>
            </w:r>
          </w:p>
        </w:tc>
      </w:tr>
    </w:tbl>
    <w:p/>
    <w:p>
      <w:pPr>
        <w:pStyle w:val="Heading1"/>
        <w:pBdr>
          <w:bottom w:val="single" w:sz="6" w:space="4" w:color="0A2540"/>
        </w:pBdr>
      </w:pPr>
      <w:r>
        <w:rPr>
          <w:rFonts w:ascii="Calibri" w:hAnsi="Calibri"/>
          <w:b/>
          <w:color w:val="0A2540"/>
          <w:sz w:val="26"/>
        </w:rPr>
        <w:t>3.  Design Assumptions</w:t>
      </w:r>
    </w:p>
    <w:p>
      <w:pPr>
        <w:pStyle w:val="ListBullet"/>
      </w:pPr>
      <w:r>
        <w:rPr>
          <w:rFonts w:ascii="Calibri" w:hAnsi="Calibri"/>
          <w:color w:val="374151"/>
          <w:sz w:val="18"/>
        </w:rPr>
        <w:t>Each application's peak flow is coincident with itself; NO diversity is applied between applications — the scheme total is a straight sum.</w:t>
      </w:r>
    </w:p>
    <w:p>
      <w:pPr>
        <w:pStyle w:val="ListBullet"/>
      </w:pPr>
      <w:r>
        <w:rPr>
          <w:rFonts w:ascii="Calibri" w:hAnsi="Calibri"/>
          <w:color w:val="374151"/>
          <w:sz w:val="18"/>
        </w:rPr>
        <w:t>Pre-treatment upstream of any RO passes the RO feed flow, not the permeate.</w:t>
      </w:r>
    </w:p>
    <w:p>
      <w:pPr>
        <w:pStyle w:val="ListBullet"/>
      </w:pPr>
      <w:r>
        <w:rPr>
          <w:rFonts w:ascii="Calibri" w:hAnsi="Calibri"/>
          <w:color w:val="374151"/>
          <w:sz w:val="18"/>
        </w:rPr>
        <w:t>The 0.2 um sterilising cartridge and any loop UV are on the PRODUCT side, downstream of the membranes; the pre-RO cartridge is a membrane guard.</w:t>
      </w:r>
    </w:p>
    <w:p>
      <w:pPr>
        <w:pStyle w:val="ListBullet"/>
      </w:pPr>
      <w:r>
        <w:rPr>
          <w:rFonts w:ascii="Calibri" w:hAnsi="Calibri"/>
          <w:color w:val="374151"/>
          <w:sz w:val="18"/>
        </w:rPr>
        <w:t>Backwash is performed on one vessel at a time — the largest vessel governs the backwash pump.</w:t>
      </w:r>
    </w:p>
    <w:p>
      <w:pPr>
        <w:pStyle w:val="ListBullet"/>
      </w:pPr>
      <w:r>
        <w:rPr>
          <w:rFonts w:ascii="Calibri" w:hAnsi="Calibri"/>
          <w:color w:val="374151"/>
          <w:sz w:val="18"/>
        </w:rPr>
        <w:t>Duty and standby are provided for every pump and every dosing pump.</w:t>
      </w:r>
    </w:p>
    <w:p>
      <w:pPr>
        <w:pStyle w:val="ListBullet"/>
      </w:pPr>
      <w:r>
        <w:rPr>
          <w:rFonts w:ascii="Calibri" w:hAnsi="Calibri"/>
          <w:color w:val="374151"/>
          <w:sz w:val="18"/>
        </w:rPr>
        <w:t>Dosing pumps are selected at the top of the printed dose range so they can deliver the whole band; chemical consumption and tank volumes use the design dose.</w:t>
      </w:r>
    </w:p>
    <w:p>
      <w:pPr>
        <w:pStyle w:val="ListBullet"/>
      </w:pPr>
      <w:r>
        <w:rPr>
          <w:rFonts w:ascii="Calibri" w:hAnsi="Calibri"/>
          <w:color w:val="374151"/>
          <w:sz w:val="18"/>
        </w:rPr>
        <w:t>Reverse-osmosis second-pass reject is sent to drain unless stated otherwise (the conservative case — recycling it would reduce the feed requirement).</w:t>
      </w:r>
    </w:p>
    <w:p>
      <w:r>
        <w:rPr>
          <w:rFonts w:ascii="Calibri" w:hAnsi="Calibri"/>
          <w:b/>
          <w:color w:val="0A2540"/>
          <w:sz w:val="22"/>
        </w:rPr>
        <w:t>AHJ basis</w:t>
      </w:r>
    </w:p>
    <w:p>
      <w:pPr>
        <w:pStyle w:val="ListBullet"/>
      </w:pPr>
      <w:r>
        <w:rPr>
          <w:rFonts w:ascii="Calibri" w:hAnsi="Calibri"/>
          <w:color w:val="374151"/>
          <w:sz w:val="18"/>
        </w:rPr>
        <w:t>AHJ basis: Chlorine at terminal outlets, minimum 0.2 mg/L (default)</w:t>
      </w:r>
    </w:p>
    <w:p>
      <w:pPr>
        <w:pStyle w:val="ListBullet"/>
      </w:pPr>
      <w:r>
        <w:rPr>
          <w:rFonts w:ascii="Calibri" w:hAnsi="Calibri"/>
          <w:color w:val="374151"/>
          <w:sz w:val="18"/>
        </w:rPr>
        <w:t>AHJ basis: Chlorine at terminal outlets, maximum 0.5 mg/L (default)</w:t>
      </w:r>
    </w:p>
    <w:p>
      <w:pPr>
        <w:pStyle w:val="ListBullet"/>
      </w:pPr>
      <w:r>
        <w:rPr>
          <w:rFonts w:ascii="Calibri" w:hAnsi="Calibri"/>
          <w:color w:val="374151"/>
          <w:sz w:val="18"/>
        </w:rPr>
        <w:t>AHJ basis: Water pH maximum for chlorine efficacy 7.6 (default)</w:t>
      </w:r>
    </w:p>
    <w:p>
      <w:pPr>
        <w:pStyle w:val="ListBullet"/>
      </w:pPr>
      <w:r>
        <w:rPr>
          <w:rFonts w:ascii="Calibri" w:hAnsi="Calibri"/>
          <w:color w:val="374151"/>
          <w:sz w:val="18"/>
        </w:rPr>
        <w:t>Default values - verify against the local AHJ requirement.</w:t>
      </w:r>
    </w:p>
    <w:p>
      <w:pPr>
        <w:pStyle w:val="Heading1"/>
        <w:pBdr>
          <w:bottom w:val="single" w:sz="6" w:space="4" w:color="0A2540"/>
        </w:pBdr>
      </w:pPr>
      <w:r>
        <w:rPr>
          <w:rFonts w:ascii="Calibri" w:hAnsi="Calibri"/>
          <w:b/>
          <w:color w:val="0A2540"/>
          <w:sz w:val="26"/>
        </w:rPr>
        <w:t>4.  Step-by-Step Calculation</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  WT01 Domestic water -- circulation loop flow (tank turnover)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Q_loop = V_tank / t_turnover / 3.6</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75.00 m3 / 6.00 h / 3.6 = 3.472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3.472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Loop basis per ruling R1: the loop stages and the circulation pump are sized on the tank-turnover flow, not on any other line's flow.</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  WT01 Domestic water -- transfer line flow (tank fill time)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Q_transfer = V_tank / t_fill / 3.6</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75.00 m3 / 8.00 h / 3.6 = 2.604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2.604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Transfer basis per round-3 ruling R5/R7: the destination tank fills in the stated time; the transfer line's stages, its pressure-drop advisory and the opted-in transfer pump are sized on this flow.</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  Multimedia filter -- model selection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select smallest model with Q_printed &gt;= Q_unit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Generic multimedia FRP 975 mm: 3.60 L/s &gt;= 2.60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Generic multimedia FRP 975 mm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Service basis 20 m/h; printed catalogue duty. SOURCE: Media filters -- typical market data (catalogue-derived envelope): service 20 m/h, backwash 30 m/h; cross-checked against ASPE PEDH Vol 4 (2016) Ch.10 # 10 backwash 10-20 gpm/ft2, bed expansion &gt;= 50 %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  Multimedia filter -- filtration area</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A = pi/4 * D^2</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pi/4 * (0.975 m)^2 = 0.747 m2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0.747 m2</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5:  Multimedia filter -- backwash duty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Q_bw = Q_bw_printed (one vessel at a time)</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5.50 L/s per vessel = 5.50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5.5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Backwash 26.5 m/h from the printed duty on D975 mm (10.8 gpm/ft2); envelope basis 30 m/h. ASPE PEDH Vol 4 # 10 prints 10-20 gpm/ft2 with bed expansion &gt;= 50 %. Vessels are backwashed one at a time; the others stay in service.</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6:  Multimedia filter -- design pressure drop allowance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dP_design = dP_clean + dP_dirty_rise</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0.35 + 0.34 = 0.69 bar</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0.695 bar</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Dirty rise = ASPE's printed 5 psi backwash trigger (ASPE PEDH Vol 4 # 10). Clean dP is provisional (X-12).</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7:  Softener -- raw water hardness</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H_gpg = H_mgl / 17.118</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150.0 mg/L as CaCO3 = 8.76 gpg</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8.763 gpg</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1 grain per US gallon = 17.118 mg/L as CaCO3. ASPE PEDH Vol 4 # 10 works in gpg -- kept code-native, never flipped.</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8:  Softener -- resin volume, hydraulic</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V_hyd = Q / r_service</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41.3 gpm / 3 gpm/ft3 = 13.76 ft3</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13.759 ft3</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ASPE PEDH Vol 4 # 10 prints service flow 1-5 gpm/ft3 with bed depth 30 in or more.</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9:  Softener -- working capacity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C = f(salt dose)  [printed ladder, p205]</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10 lb salt/ft3 -&gt; 25,000 grains/ft3 (57.2 g CaCO3/L resin)</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25,000 grains/ft3</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ASPE PEDH Vol 4 # 10 printed p205: 6 / 10 / 15 lb salt per ft3 -&gt; 20,000 / 25,000 / 30,000 grains/ft3 (linear between rungs). The default 10 lb/ft3 rung is the engineer's choice (X-01).</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10:  Softener -- hardness load per cycle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L = V_cycle * H_gpg</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39,626 gal * 8.76 gpg = 347,228 grains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347,228.063 grains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Cycle = 1 day(s) of throughput.</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11:  Softener -- resin volume, capacity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V_cap = L / C</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347,228 / 25,000 = 13.89 ft3</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13.889 ft3</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12:  Softener -- governing resin volume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V_resin = max(V_hyd, V_cap)</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max(13.76, 13.89) = 13.89 ft3  -- capacity (hardness load) governs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13.889 ft3</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Taking the larger satisfies BOTH of ASPE's constraints (service rate AND exchange capacity) at once.</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13:  Softener -- vessel diameter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A = V_resin / d_bed ;  D = sqrt(4A / pi)</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A = 0.393 m3 / 0.762 m = 0.516 m2  -&gt;  D = 811 mm</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810.658 mm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Bed depth 30 in (ASPE prints 30-36 in).</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14:  Softener -- vessel height</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 = d_bed * (1 + freeboard)</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0.762 * (1 + 0.50) = 1.14 m</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1.143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Freeboard is the space ASPE requires above the mineral for proper expansion during backwashing. Percentage is provisional.</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15:  Softener -- salt per regeneration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M_salt = dose * V_resin</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10 lb/ft3 * 13.89 ft3 = 138.9 lb = 63.0 kg</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63 kg</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Salt dose per ft3 as printed (Vol 4 p205); the default rung is the engineer's choice (X-01). 1 lb = 0.45359237 kg.</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16:  Softener -- salt storage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M_store = M_salt * regens/day * storage days</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63.00 kg * 1.00/day * 30 days = 1,890 kg</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1,890 kg</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30-day salt storage (provisional, X-03).</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17:  Softener -- saturated brine per regeneration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V_brine = M_salt / C_brine</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63.0 kg * 1000 g/kg / 312 g/L = 202 L</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201.923 L</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Saturated NaCl 26 % w/w (provisional, X-03).</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18:  Softener -- throughput between regenerations</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V_run = C_total / H_gpg</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347,228 grains / 8.76 gpg = 39,626 gal (150.0 m3)</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150 m3</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ASPE PEDH Vol 4 # 10 printed method (p203).</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19:  Activated carbon filter -- model selection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select smallest model with Q_printed &gt;= Q_unit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Generic carbon FRP 975 mm: 3.60 L/s &gt;= 2.60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Generic carbon FRP 975 mm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Service basis 20 m/h; printed catalogue duty. SOURCE: Media filters -- typical market data (catalogue-derived envelope): service 20 m/h, backwash 30 m/h; cross-checked against ASPE PEDH Vol 4 (2016) Ch.10 # 10 backwash 10-20 gpm/ft2, bed expansion &gt;= 50 %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20:  Activated carbon filter -- filtration area</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A = pi/4 * D^2</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pi/4 * (0.975 m)^2 = 0.747 m2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0.747 m2</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21:  Activated carbon filter -- backwash duty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Q_bw = Q_bw_printed (one vessel at a time)</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5.50 L/s per vessel = 5.50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5.5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Backwash 26.5 m/h from the printed duty on D975 mm (10.8 gpm/ft2); envelope basis 30 m/h. ASPE PEDH Vol 4 # 10 prints 10-20 gpm/ft2 with bed expansion &gt;= 50 %. Vessels are backwashed one at a time; the others stay in service.</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22:  Activated carbon filter -- design pressure drop allowance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dP_design = dP_clean + dP_dirty_rise</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0.35 + 0.34 = 0.69 bar</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0.695 bar</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Dirty rise = ASPE's printed 5 psi backwash trigger (ASPE PEDH Vol 4 # 10). Clean dP is provisional (X-12).</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23:  Chlorine dosing -- design dosing rate</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q_dose = Q * dose / C_stock</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12.50 m3/h * 1 g/m3 / 125 g/L = 0.100 L/h</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0.1 L/h</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Sodium hypochlorite. ASPE PEDH Vol 2 # 11 prints a residual range of 0.5-1 ppm as generally accepted for typical waters. Chlorine at the terminal outlets (AHJ, default): 0.2-0.5 mg/L; water pH at or below 7.6 for chlorine efficacy (AHJ, default) -- verify against the local AHJ requirement and confirm by sampling at commissioning.</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24:  Chlorine dosing -- pump selection duty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q_pump = Q * dose_max / C_stock</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12.50 * 2 / 125 = 0.200 L/h</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0.2 L/h</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The pump is sized at the printed range MAXIMUM so it can deliver the whole band; consumption and tank use the design dose.</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25:  Chlorine dosing -- chemical consumption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V_day = q_dose * t_run</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0.100 L/h * 12.0 h/day = 1.20 L/day</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1.2 L/day</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26:  Chlorine dosing -- stock tank</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V_tank = V_day * storage days -&gt; next standard size</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1.20 * 30 = 36.0 L -&gt; 50 L tank</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50 L</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30-day stock (provisional, X-11).</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27:  WT01 Domestic water -- circulation line external head (user input)</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H_ext = static lift + pipe + fittings + valves</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8.00 m entered by the engineer</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8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R-2: ONE external-head figure per pumped line. It EXCLUDES every treatment stage the tool selects on the line -- those dirty pressure drops are added next, then the 10 % head margin. A closed circulation circuit carries no net static lift.</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28:  WT01 Domestic water -- transfer line external head (user input)</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H_ext = static lift + pipe + fittings + valves</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8.00 m entered by the engineer</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8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R-2: ONE external-head figure per pumped line. It EXCLUDES every treatment stage the tool selects on the line -- those dirty pressure drops are added next, then the 10 % head margin.</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29:  WT01 Domestic water -- governing backwash duty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Q_bw = max(backwash flow of each media vessel)</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Multimedia filter Generic multimedia FRP 975 mm: 5.50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5.5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Backwash is one vessel at a time; the largest vessel governs the pump. Dedicated backwash pump on the per-application opt-in (treated-storage wash). Head basis: the Transfer — tank to tank line's external head 8.00 m plus the media clean pressure drop -- confirm the backwash circuit with the vendor.</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30:  WT01 Domestic water -- circulation pump -- total head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 = (H_static + H_pipe + H_equip) * (1 + margin)</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(0.00 + 8.00 + 0.00) * (1 + 0.10) = 8.80 m</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8.8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Head margin 10 % is PROVISIONAL (X-09).</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31:  WT01 Domestic water -- circulation pump -- hydraulic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P_hyd = rho * g * Q * H / 3.6e6</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998.20 * 9.80665 * 12.50 * 8.80 / 3.6e6 = 0.299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0.299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Q in m3/h and H in m; 3.6e6 converts to kW.</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32:  WT01 Domestic water -- circulation pump -- shaft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P_shaft = P_hyd / eta_p</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0.299 / 0.65 = 0.460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0.46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Pump efficiency 0.65 is PROVISIONAL (X-09).</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33:  WT01 Domestic water -- circulation pump -- electrical input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P_elec = P_shaft / eta_m</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0.460 / 0.90 = 0.511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0.511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Electrical input at the duty point -- for energy / tariff estimates only. NOT the motor nameplate, and NOT a cable or breaker basis: those are sized on the motor's rated current.</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34:  WT01 Domestic water -- circulation pump -- motor frame selection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frame = next standard kW &gt;= P_shaft * SF</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0.460 * 1.15 = 0.529 kW -&gt; 0.55 kW frame</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0.55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Motor frame kW steps per IEC 60072 / EN 50347 typical range (X-13 -- the library holds PREVIEW-only copies of both; ladder reused from the Water Supply tool). Motor rated output = rated shaft power per BS EN 60034-1:2010.</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35:  WT01 Domestic water -- transfer / feed pump -- equipment pressure drop as head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H_equip = dP * 1e5 / (rho * g)</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2.424 bar * 1e5 / (998.20 * 9.80665) = 24.76 m</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24.765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rho 998.2 kg/m3 @ 20 degC per ASHRAE Fundamentals 2021 SI Ch.33 Table 2.</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36:  WT01 Domestic water -- transfer / feed pump -- total head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 = (H_static + H_pipe + H_equip) * (1 + margin)</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(0.00 + 8.00 + 24.76) * (1 + 0.10) = 36.04 m</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36.041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Head margin 10 % is PROVISIONAL (X-09).</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37:  WT01 Domestic water -- transfer / feed pump -- hydraulic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P_hyd = rho * g * Q * H / 3.6e6</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998.20 * 9.80665 * 9.38 * 36.04 / 3.6e6 = 0.919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0.919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Q in m3/h and H in m; 3.6e6 converts to kW.</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38:  WT01 Domestic water -- transfer / feed pump -- shaft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P_shaft = P_hyd / eta_p</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0.919 / 0.65 = 1.413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1.413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Pump efficiency 0.65 is PROVISIONAL (X-09).</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39:  WT01 Domestic water -- transfer / feed pump -- electrical input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P_elec = P_shaft / eta_m</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1.413 / 0.90 = 1.571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1.571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Electrical input at the duty point -- for energy / tariff estimates only. NOT the motor nameplate, and NOT a cable or breaker basis: those are sized on the motor's rated current.</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40:  WT01 Domestic water -- transfer / feed pump -- motor frame selection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frame = next standard kW &gt;= P_shaft * SF</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1.413 * 1.15 = 1.626 kW -&gt; 2.2 kW frame</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2.2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Motor frame kW steps per IEC 60072 / EN 50347 typical range (X-13 -- the library holds PREVIEW-only copies of both; ladder reused from the Water Supply tool). Motor rated output = rated shaft power per BS EN 60034-1:2010.</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41:  WT01 Domestic water -- backwash pump -- equipment pressure drop as head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H_equip = dP * 1e5 / (rho * g)</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0.350 bar * 1e5 / (998.20 * 9.80665) = 3.58 m</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3.575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rho 998.2 kg/m3 @ 20 degC per ASHRAE Fundamentals 2021 SI Ch.33 Table 2.</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42:  WT01 Domestic water -- backwash pump -- total head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H = (H_static + H_pipe + H_equip) * (1 + margin)</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(0.00 + 8.00 + 3.58) * (1 + 0.10) = 12.73 m</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12.733 m</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Head margin 10 % is PROVISIONAL (X-09).</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43:  WT01 Domestic water -- backwash pump -- hydraulic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P_hyd = rho * g * Q * H / 3.6e6</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998.20 * 9.80665 * 19.80 * 12.73 / 3.6e6 = 0.686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0.686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Q in m3/h and H in m; 3.6e6 converts to kW.</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44:  WT01 Domestic water -- backwash pump -- shaft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P_shaft = P_hyd / eta_p</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0.686 / 0.65 = 1.055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1.055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Pump efficiency 0.65 is PROVISIONAL (X-09).</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45:  WT01 Domestic water -- backwash pump -- electrical input power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P_elec = P_shaft / eta_m</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1.055 / 0.90 = 1.172 kW</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1.172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Electrical input at the duty point -- for energy / tariff estimates only. NOT the motor nameplate, and NOT a cable or breaker basis: those are sized on the motor's rated current.</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46:  WT01 Domestic water -- backwash pump -- motor frame selection</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frame = next standard kW &gt;= P_shaft * SF</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1.055 * 1.15 = 1.213 kW -&gt; 1.5 kW frame</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1.5 kW</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Motor frame kW steps per IEC 60072 / EN 50347 typical range (X-13 -- the library holds PREVIEW-only copies of both; ladder reused from the Water Supply tool). Motor rated output = rated shaft power per BS EN 60034-1:2010.</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47:  Scheme -- total product flow</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Q_total = sum(application product flows)</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2.60 = 2.60 L/s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2.604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Simple sum -- NO diversity applied between applications. Apply a diversity factor on the input side if the peaks do not coincide. The product flow is the treated-water demand on an RO application and the delivering line's flow otherwise; a drain-only application contributes nothing.</w:t>
            </w:r>
          </w:p>
        </w:tc>
      </w:tr>
    </w:tbl>
    <w:p/>
    <w:p>
      <w:pPr>
        <w:pStyle w:val="Heading1"/>
        <w:pBdr>
          <w:bottom w:val="single" w:sz="6" w:space="4" w:color="0A2540"/>
        </w:pBdr>
      </w:pPr>
      <w:r>
        <w:rPr>
          <w:rFonts w:ascii="Calibri" w:hAnsi="Calibri"/>
          <w:b/>
          <w:color w:val="0A2540"/>
          <w:sz w:val="26"/>
        </w:rPr>
        <w:t>5.  Results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Scheme summary</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Applications</w:t>
            </w:r>
          </w:p>
        </w:tc>
        <w:tc>
          <w:tcPr>
            <w:tcW w:type="dxa" w:w="4680"/>
            <w:shd w:val="clear" w:color="auto" w:fill="EFF9FC"/>
          </w:tcPr>
          <w:p>
            <w:pPr>
              <w:jc w:val="left"/>
            </w:pPr>
            <w:r>
              <w:rPr>
                <w:rFonts w:ascii="Calibri" w:hAnsi="Calibri"/>
                <w:b/>
                <w:i w:val="0"/>
                <w:color w:val="0B3D91"/>
                <w:sz w:val="18"/>
              </w:rPr>
              <w:t>1</w:t>
            </w:r>
          </w:p>
        </w:tc>
      </w:tr>
      <w:tr>
        <w:tc>
          <w:tcPr>
            <w:tcW w:type="dxa" w:w="4680"/>
            <w:shd w:val="clear" w:color="auto" w:fill="FFFFFF"/>
          </w:tcPr>
          <w:p>
            <w:pPr>
              <w:jc w:val="left"/>
            </w:pPr>
            <w:r>
              <w:rPr>
                <w:rFonts w:ascii="Calibri" w:hAnsi="Calibri"/>
                <w:b w:val="0"/>
                <w:i w:val="0"/>
                <w:sz w:val="18"/>
              </w:rPr>
              <w:t>Total product flow</w:t>
            </w:r>
          </w:p>
        </w:tc>
        <w:tc>
          <w:tcPr>
            <w:tcW w:type="dxa" w:w="4680"/>
            <w:shd w:val="clear" w:color="auto" w:fill="FFFFFF"/>
          </w:tcPr>
          <w:p>
            <w:pPr>
              <w:jc w:val="left"/>
            </w:pPr>
            <w:r>
              <w:rPr>
                <w:rFonts w:ascii="Calibri" w:hAnsi="Calibri"/>
                <w:b/>
                <w:i w:val="0"/>
                <w:color w:val="0B3D91"/>
                <w:sz w:val="18"/>
              </w:rPr>
              <w:t>2.60 L/s</w:t>
            </w:r>
          </w:p>
        </w:tc>
      </w:tr>
      <w:tr>
        <w:tc>
          <w:tcPr>
            <w:tcW w:type="dxa" w:w="4680"/>
            <w:shd w:val="clear" w:color="auto" w:fill="EFF9FC"/>
          </w:tcPr>
          <w:p>
            <w:pPr>
              <w:jc w:val="left"/>
            </w:pPr>
            <w:r>
              <w:rPr>
                <w:rFonts w:ascii="Calibri" w:hAnsi="Calibri"/>
                <w:b w:val="0"/>
                <w:i w:val="0"/>
                <w:sz w:val="18"/>
              </w:rPr>
              <w:t>Total pre-treatment flow</w:t>
            </w:r>
          </w:p>
        </w:tc>
        <w:tc>
          <w:tcPr>
            <w:tcW w:type="dxa" w:w="4680"/>
            <w:shd w:val="clear" w:color="auto" w:fill="EFF9FC"/>
          </w:tcPr>
          <w:p>
            <w:pPr>
              <w:jc w:val="left"/>
            </w:pPr>
            <w:r>
              <w:rPr>
                <w:rFonts w:ascii="Calibri" w:hAnsi="Calibri"/>
                <w:b/>
                <w:i w:val="0"/>
                <w:color w:val="0B3D91"/>
                <w:sz w:val="18"/>
              </w:rPr>
              <w:t>2.60 L/s</w:t>
            </w:r>
          </w:p>
        </w:tc>
      </w:tr>
      <w:tr>
        <w:tc>
          <w:tcPr>
            <w:tcW w:type="dxa" w:w="4680"/>
            <w:shd w:val="clear" w:color="auto" w:fill="FFFFFF"/>
          </w:tcPr>
          <w:p>
            <w:pPr>
              <w:jc w:val="left"/>
            </w:pPr>
            <w:r>
              <w:rPr>
                <w:rFonts w:ascii="Calibri" w:hAnsi="Calibri"/>
                <w:b w:val="0"/>
                <w:i w:val="0"/>
                <w:sz w:val="18"/>
              </w:rPr>
              <w:t>Total daily volume</w:t>
            </w:r>
          </w:p>
        </w:tc>
        <w:tc>
          <w:tcPr>
            <w:tcW w:type="dxa" w:w="4680"/>
            <w:shd w:val="clear" w:color="auto" w:fill="FFFFFF"/>
          </w:tcPr>
          <w:p>
            <w:pPr>
              <w:jc w:val="left"/>
            </w:pPr>
            <w:r>
              <w:rPr>
                <w:rFonts w:ascii="Calibri" w:hAnsi="Calibri"/>
                <w:b/>
                <w:i w:val="0"/>
                <w:color w:val="0B3D91"/>
                <w:sz w:val="18"/>
              </w:rPr>
              <w:t>150.00 m³</w:t>
            </w:r>
          </w:p>
        </w:tc>
      </w:tr>
      <w:tr>
        <w:tc>
          <w:tcPr>
            <w:tcW w:type="dxa" w:w="4680"/>
            <w:shd w:val="clear" w:color="auto" w:fill="EFF9FC"/>
          </w:tcPr>
          <w:p>
            <w:pPr>
              <w:jc w:val="left"/>
            </w:pPr>
            <w:r>
              <w:rPr>
                <w:rFonts w:ascii="Calibri" w:hAnsi="Calibri"/>
                <w:b w:val="0"/>
                <w:i w:val="0"/>
                <w:sz w:val="18"/>
              </w:rPr>
              <w:t>Equipment items</w:t>
            </w:r>
          </w:p>
        </w:tc>
        <w:tc>
          <w:tcPr>
            <w:tcW w:type="dxa" w:w="4680"/>
            <w:shd w:val="clear" w:color="auto" w:fill="EFF9FC"/>
          </w:tcPr>
          <w:p>
            <w:pPr>
              <w:jc w:val="left"/>
            </w:pPr>
            <w:r>
              <w:rPr>
                <w:rFonts w:ascii="Calibri" w:hAnsi="Calibri"/>
                <w:b/>
                <w:i w:val="0"/>
                <w:color w:val="0B3D91"/>
                <w:sz w:val="18"/>
              </w:rPr>
              <w:t>4</w:t>
            </w:r>
          </w:p>
        </w:tc>
      </w:tr>
      <w:tr>
        <w:tc>
          <w:tcPr>
            <w:tcW w:type="dxa" w:w="4680"/>
            <w:shd w:val="clear" w:color="auto" w:fill="FFFFFF"/>
          </w:tcPr>
          <w:p>
            <w:pPr>
              <w:jc w:val="left"/>
            </w:pPr>
            <w:r>
              <w:rPr>
                <w:rFonts w:ascii="Calibri" w:hAnsi="Calibri"/>
                <w:b w:val="0"/>
                <w:i w:val="0"/>
                <w:sz w:val="18"/>
              </w:rPr>
              <w:t>Pumps (duty)</w:t>
            </w:r>
          </w:p>
        </w:tc>
        <w:tc>
          <w:tcPr>
            <w:tcW w:type="dxa" w:w="4680"/>
            <w:shd w:val="clear" w:color="auto" w:fill="FFFFFF"/>
          </w:tcPr>
          <w:p>
            <w:pPr>
              <w:jc w:val="left"/>
            </w:pPr>
            <w:r>
              <w:rPr>
                <w:rFonts w:ascii="Calibri" w:hAnsi="Calibri"/>
                <w:b/>
                <w:i w:val="0"/>
                <w:color w:val="0B3D91"/>
                <w:sz w:val="18"/>
              </w:rPr>
              <w:t>3</w:t>
            </w:r>
          </w:p>
        </w:tc>
      </w:tr>
      <w:tr>
        <w:tc>
          <w:tcPr>
            <w:tcW w:type="dxa" w:w="4680"/>
            <w:shd w:val="clear" w:color="auto" w:fill="EFF9FC"/>
          </w:tcPr>
          <w:p>
            <w:pPr>
              <w:jc w:val="left"/>
            </w:pPr>
            <w:r>
              <w:rPr>
                <w:rFonts w:ascii="Calibri" w:hAnsi="Calibri"/>
                <w:b w:val="0"/>
                <w:i w:val="0"/>
                <w:sz w:val="18"/>
              </w:rPr>
              <w:t>Installed motor power (duty)</w:t>
            </w:r>
          </w:p>
        </w:tc>
        <w:tc>
          <w:tcPr>
            <w:tcW w:type="dxa" w:w="4680"/>
            <w:shd w:val="clear" w:color="auto" w:fill="EFF9FC"/>
          </w:tcPr>
          <w:p>
            <w:pPr>
              <w:jc w:val="left"/>
            </w:pPr>
            <w:r>
              <w:rPr>
                <w:rFonts w:ascii="Calibri" w:hAnsi="Calibri"/>
                <w:b/>
                <w:i w:val="0"/>
                <w:color w:val="0B3D91"/>
                <w:sz w:val="18"/>
              </w:rPr>
              <w:t>4.25 kW</w:t>
            </w:r>
          </w:p>
        </w:tc>
      </w:tr>
    </w:tbl>
    <w:p/>
    <w:p>
      <w:r>
        <w:rPr>
          <w:rFonts w:ascii="Calibri" w:hAnsi="Calibri"/>
          <w:b/>
          <w:color w:val="0A2540"/>
          <w:sz w:val="22"/>
        </w:rPr>
        <w:t>WT01 Domestic water</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Duty</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Product flow</w:t>
            </w:r>
          </w:p>
        </w:tc>
        <w:tc>
          <w:tcPr>
            <w:tcW w:type="dxa" w:w="4680"/>
            <w:shd w:val="clear" w:color="auto" w:fill="EFF9FC"/>
          </w:tcPr>
          <w:p>
            <w:pPr>
              <w:jc w:val="left"/>
            </w:pPr>
            <w:r>
              <w:rPr>
                <w:rFonts w:ascii="Calibri" w:hAnsi="Calibri"/>
                <w:b/>
                <w:i w:val="0"/>
                <w:color w:val="0B3D91"/>
                <w:sz w:val="18"/>
              </w:rPr>
              <w:t>2.60 L/s</w:t>
            </w:r>
          </w:p>
        </w:tc>
      </w:tr>
      <w:tr>
        <w:tc>
          <w:tcPr>
            <w:tcW w:type="dxa" w:w="4680"/>
            <w:shd w:val="clear" w:color="auto" w:fill="FFFFFF"/>
          </w:tcPr>
          <w:p>
            <w:pPr>
              <w:jc w:val="left"/>
            </w:pPr>
            <w:r>
              <w:rPr>
                <w:rFonts w:ascii="Calibri" w:hAnsi="Calibri"/>
                <w:b w:val="0"/>
                <w:i w:val="0"/>
                <w:sz w:val="18"/>
              </w:rPr>
              <w:t>Pre-treatment flow</w:t>
            </w:r>
          </w:p>
        </w:tc>
        <w:tc>
          <w:tcPr>
            <w:tcW w:type="dxa" w:w="4680"/>
            <w:shd w:val="clear" w:color="auto" w:fill="FFFFFF"/>
          </w:tcPr>
          <w:p>
            <w:pPr>
              <w:jc w:val="left"/>
            </w:pPr>
            <w:r>
              <w:rPr>
                <w:rFonts w:ascii="Calibri" w:hAnsi="Calibri"/>
                <w:b/>
                <w:i w:val="0"/>
                <w:color w:val="0B3D91"/>
                <w:sz w:val="18"/>
              </w:rPr>
              <w:t>2.60 L/s</w:t>
            </w:r>
          </w:p>
        </w:tc>
      </w:tr>
      <w:tr>
        <w:tc>
          <w:tcPr>
            <w:tcW w:type="dxa" w:w="4680"/>
            <w:shd w:val="clear" w:color="auto" w:fill="EFF9FC"/>
          </w:tcPr>
          <w:p>
            <w:pPr>
              <w:jc w:val="left"/>
            </w:pPr>
            <w:r>
              <w:rPr>
                <w:rFonts w:ascii="Calibri" w:hAnsi="Calibri"/>
                <w:b w:val="0"/>
                <w:i w:val="0"/>
                <w:sz w:val="18"/>
              </w:rPr>
              <w:t>Daily volume</w:t>
            </w:r>
          </w:p>
        </w:tc>
        <w:tc>
          <w:tcPr>
            <w:tcW w:type="dxa" w:w="4680"/>
            <w:shd w:val="clear" w:color="auto" w:fill="EFF9FC"/>
          </w:tcPr>
          <w:p>
            <w:pPr>
              <w:jc w:val="left"/>
            </w:pPr>
            <w:r>
              <w:rPr>
                <w:rFonts w:ascii="Calibri" w:hAnsi="Calibri"/>
                <w:b/>
                <w:i w:val="0"/>
                <w:color w:val="0B3D91"/>
                <w:sz w:val="18"/>
              </w:rPr>
              <w:t>150.00 m³</w:t>
            </w:r>
          </w:p>
        </w:tc>
      </w:tr>
      <w:tr>
        <w:tc>
          <w:tcPr>
            <w:tcW w:type="dxa" w:w="4680"/>
            <w:shd w:val="clear" w:color="auto" w:fill="FFFFFF"/>
          </w:tcPr>
          <w:p>
            <w:pPr>
              <w:jc w:val="left"/>
            </w:pPr>
            <w:r>
              <w:rPr>
                <w:rFonts w:ascii="Calibri" w:hAnsi="Calibri"/>
                <w:b w:val="0"/>
                <w:i w:val="0"/>
                <w:sz w:val="18"/>
              </w:rPr>
              <w:t>Transfer-line pressure drop</w:t>
            </w:r>
          </w:p>
        </w:tc>
        <w:tc>
          <w:tcPr>
            <w:tcW w:type="dxa" w:w="4680"/>
            <w:shd w:val="clear" w:color="auto" w:fill="FFFFFF"/>
          </w:tcPr>
          <w:p>
            <w:pPr>
              <w:jc w:val="left"/>
            </w:pPr>
            <w:r>
              <w:rPr>
                <w:rFonts w:ascii="Calibri" w:hAnsi="Calibri"/>
                <w:b/>
                <w:i w:val="0"/>
                <w:color w:val="0B3D91"/>
                <w:sz w:val="18"/>
              </w:rPr>
              <w:t>2.42 bar</w:t>
            </w:r>
          </w:p>
        </w:tc>
      </w:tr>
    </w:tbl>
    <w:p/>
    <w:p>
      <w:pPr>
        <w:pStyle w:val="Heading1"/>
        <w:pBdr>
          <w:bottom w:val="single" w:sz="6" w:space="4" w:color="0A2540"/>
        </w:pBdr>
      </w:pPr>
      <w:r>
        <w:rPr>
          <w:rFonts w:ascii="Calibri" w:hAnsi="Calibri"/>
          <w:b/>
          <w:color w:val="0A2540"/>
          <w:sz w:val="26"/>
        </w:rPr>
        <w:t>7.  Equipment Schedule</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Application / stage (line)</w:t>
            </w:r>
          </w:p>
        </w:tc>
        <w:tc>
          <w:tcPr>
            <w:tcW w:type="dxa" w:w="4680"/>
            <w:shd w:val="clear" w:color="auto" w:fill="0A2540"/>
          </w:tcPr>
          <w:p>
            <w:pPr>
              <w:jc w:val="center"/>
            </w:pPr>
            <w:r>
              <w:rPr>
                <w:rFonts w:ascii="Calibri" w:hAnsi="Calibri"/>
                <w:b/>
                <w:i w:val="0"/>
                <w:color w:val="FFFFFF"/>
                <w:sz w:val="18"/>
              </w:rPr>
              <w:t>Selection &amp; details (SI)</w:t>
            </w:r>
          </w:p>
        </w:tc>
      </w:tr>
      <w:tr>
        <w:tc>
          <w:tcPr>
            <w:tcW w:type="dxa" w:w="4680"/>
            <w:shd w:val="clear" w:color="auto" w:fill="EFF9FC"/>
          </w:tcPr>
          <w:p>
            <w:pPr>
              <w:jc w:val="left"/>
            </w:pPr>
            <w:r>
              <w:rPr>
                <w:rFonts w:ascii="Calibri" w:hAnsi="Calibri"/>
                <w:b w:val="0"/>
                <w:i w:val="0"/>
                <w:sz w:val="18"/>
              </w:rPr>
              <w:t>WT01 Domestic water — Multimedia / sand filter [Transfer]</w:t>
            </w:r>
          </w:p>
        </w:tc>
        <w:tc>
          <w:tcPr>
            <w:tcW w:type="dxa" w:w="4680"/>
            <w:shd w:val="clear" w:color="auto" w:fill="EFF9FC"/>
          </w:tcPr>
          <w:p>
            <w:pPr>
              <w:jc w:val="left"/>
            </w:pPr>
            <w:r>
              <w:rPr>
                <w:rFonts w:ascii="Calibri" w:hAnsi="Calibri"/>
                <w:b/>
                <w:i w:val="0"/>
                <w:color w:val="0B3D91"/>
                <w:sz w:val="18"/>
              </w:rPr>
              <w:t>Generic multimedia FRP 975 mm · FRP, D975 x H2150 mm, DN50, backwash 5.5 L/s, 1 off</w:t>
            </w:r>
          </w:p>
        </w:tc>
      </w:tr>
      <w:tr>
        <w:tc>
          <w:tcPr>
            <w:tcW w:type="dxa" w:w="4680"/>
            <w:shd w:val="clear" w:color="auto" w:fill="FFFFFF"/>
          </w:tcPr>
          <w:p>
            <w:pPr>
              <w:jc w:val="left"/>
            </w:pPr>
            <w:r>
              <w:rPr>
                <w:rFonts w:ascii="Calibri" w:hAnsi="Calibri"/>
                <w:b w:val="0"/>
                <w:i w:val="0"/>
                <w:sz w:val="18"/>
              </w:rPr>
              <w:t>WT01 Domestic water — Softener [Transfer]</w:t>
            </w:r>
          </w:p>
        </w:tc>
        <w:tc>
          <w:tcPr>
            <w:tcW w:type="dxa" w:w="4680"/>
            <w:shd w:val="clear" w:color="auto" w:fill="FFFFFF"/>
          </w:tcPr>
          <w:p>
            <w:pPr>
              <w:jc w:val="left"/>
            </w:pPr>
            <w:r>
              <w:rPr>
                <w:rFonts w:ascii="Calibri" w:hAnsi="Calibri"/>
                <w:b/>
                <w:i w:val="0"/>
                <w:color w:val="0B3D91"/>
                <w:sz w:val="18"/>
              </w:rPr>
              <w:t>Engineered · resin 13.9 ft3, vessel D811 mm x H1.14 m, salt 63 kg/regen</w:t>
            </w:r>
          </w:p>
        </w:tc>
      </w:tr>
      <w:tr>
        <w:tc>
          <w:tcPr>
            <w:tcW w:type="dxa" w:w="4680"/>
            <w:shd w:val="clear" w:color="auto" w:fill="EFF9FC"/>
          </w:tcPr>
          <w:p>
            <w:pPr>
              <w:jc w:val="left"/>
            </w:pPr>
            <w:r>
              <w:rPr>
                <w:rFonts w:ascii="Calibri" w:hAnsi="Calibri"/>
                <w:b w:val="0"/>
                <w:i w:val="0"/>
                <w:sz w:val="18"/>
              </w:rPr>
              <w:t>WT01 Domestic water — Activated carbon filter [Transfer]</w:t>
            </w:r>
          </w:p>
        </w:tc>
        <w:tc>
          <w:tcPr>
            <w:tcW w:type="dxa" w:w="4680"/>
            <w:shd w:val="clear" w:color="auto" w:fill="EFF9FC"/>
          </w:tcPr>
          <w:p>
            <w:pPr>
              <w:jc w:val="left"/>
            </w:pPr>
            <w:r>
              <w:rPr>
                <w:rFonts w:ascii="Calibri" w:hAnsi="Calibri"/>
                <w:b/>
                <w:i w:val="0"/>
                <w:color w:val="0B3D91"/>
                <w:sz w:val="18"/>
              </w:rPr>
              <w:t>Generic carbon FRP 975 mm · FRP, D975 x H2150 mm, DN50, backwash 5.5 L/s, 1 off</w:t>
            </w:r>
          </w:p>
        </w:tc>
      </w:tr>
      <w:tr>
        <w:tc>
          <w:tcPr>
            <w:tcW w:type="dxa" w:w="4680"/>
            <w:shd w:val="clear" w:color="auto" w:fill="FFFFFF"/>
          </w:tcPr>
          <w:p>
            <w:pPr>
              <w:jc w:val="left"/>
            </w:pPr>
            <w:r>
              <w:rPr>
                <w:rFonts w:ascii="Calibri" w:hAnsi="Calibri"/>
                <w:b w:val="0"/>
                <w:i w:val="0"/>
                <w:sz w:val="18"/>
              </w:rPr>
              <w:t>WT01 Domestic water — Chlorine dosing [Loop]</w:t>
            </w:r>
          </w:p>
        </w:tc>
        <w:tc>
          <w:tcPr>
            <w:tcW w:type="dxa" w:w="4680"/>
            <w:shd w:val="clear" w:color="auto" w:fill="FFFFFF"/>
          </w:tcPr>
          <w:p>
            <w:pPr>
              <w:jc w:val="left"/>
            </w:pPr>
            <w:r>
              <w:rPr>
                <w:rFonts w:ascii="Calibri" w:hAnsi="Calibri"/>
                <w:b/>
                <w:i w:val="0"/>
                <w:color w:val="0B3D91"/>
                <w:sz w:val="18"/>
              </w:rPr>
              <w:t>Engineered · 0.20 L/h pump, 50 L tank, dose 1 ppm, Duty + standby</w:t>
            </w:r>
          </w:p>
        </w:tc>
      </w:tr>
    </w:tbl>
    <w:p/>
    <w:p>
      <w:r>
        <w:rPr>
          <w:rFonts w:ascii="Calibri" w:hAnsi="Calibri"/>
          <w:b/>
          <w:color w:val="0A2540"/>
          <w:sz w:val="22"/>
        </w:rPr>
        <w:t>Pump Schedule</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Application / duty</w:t>
            </w:r>
          </w:p>
        </w:tc>
        <w:tc>
          <w:tcPr>
            <w:tcW w:type="dxa" w:w="4680"/>
            <w:shd w:val="clear" w:color="auto" w:fill="0A2540"/>
          </w:tcPr>
          <w:p>
            <w:pPr>
              <w:jc w:val="center"/>
            </w:pPr>
            <w:r>
              <w:rPr>
                <w:rFonts w:ascii="Calibri" w:hAnsi="Calibri"/>
                <w:b/>
                <w:i w:val="0"/>
                <w:color w:val="FFFFFF"/>
                <w:sz w:val="18"/>
              </w:rPr>
              <w:t>Selection</w:t>
            </w:r>
          </w:p>
        </w:tc>
      </w:tr>
      <w:tr>
        <w:tc>
          <w:tcPr>
            <w:tcW w:type="dxa" w:w="4680"/>
            <w:shd w:val="clear" w:color="auto" w:fill="EFF9FC"/>
          </w:tcPr>
          <w:p>
            <w:pPr>
              <w:jc w:val="left"/>
            </w:pPr>
            <w:r>
              <w:rPr>
                <w:rFonts w:ascii="Calibri" w:hAnsi="Calibri"/>
                <w:b w:val="0"/>
                <w:i w:val="0"/>
                <w:sz w:val="18"/>
              </w:rPr>
              <w:t>WT01 Domestic water — circulation pump</w:t>
            </w:r>
          </w:p>
        </w:tc>
        <w:tc>
          <w:tcPr>
            <w:tcW w:type="dxa" w:w="4680"/>
            <w:shd w:val="clear" w:color="auto" w:fill="EFF9FC"/>
          </w:tcPr>
          <w:p>
            <w:pPr>
              <w:jc w:val="left"/>
            </w:pPr>
            <w:r>
              <w:rPr>
                <w:rFonts w:ascii="Calibri" w:hAnsi="Calibri"/>
                <w:b/>
                <w:i w:val="0"/>
                <w:color w:val="0B3D91"/>
                <w:sz w:val="18"/>
              </w:rPr>
              <w:t>3.47 L/s @ 8.80 m · shaft 0.460 kW · motor 0.55 kW · 2-pole 3000 rpm · Duty + standby</w:t>
            </w:r>
          </w:p>
        </w:tc>
      </w:tr>
      <w:tr>
        <w:tc>
          <w:tcPr>
            <w:tcW w:type="dxa" w:w="4680"/>
            <w:shd w:val="clear" w:color="auto" w:fill="FFFFFF"/>
          </w:tcPr>
          <w:p>
            <w:pPr>
              <w:jc w:val="left"/>
            </w:pPr>
            <w:r>
              <w:rPr>
                <w:rFonts w:ascii="Calibri" w:hAnsi="Calibri"/>
                <w:b w:val="0"/>
                <w:i w:val="0"/>
                <w:sz w:val="18"/>
              </w:rPr>
              <w:t>WT01 Domestic water — transfer / feed pump</w:t>
            </w:r>
          </w:p>
        </w:tc>
        <w:tc>
          <w:tcPr>
            <w:tcW w:type="dxa" w:w="4680"/>
            <w:shd w:val="clear" w:color="auto" w:fill="FFFFFF"/>
          </w:tcPr>
          <w:p>
            <w:pPr>
              <w:jc w:val="left"/>
            </w:pPr>
            <w:r>
              <w:rPr>
                <w:rFonts w:ascii="Calibri" w:hAnsi="Calibri"/>
                <w:b/>
                <w:i w:val="0"/>
                <w:color w:val="0B3D91"/>
                <w:sz w:val="18"/>
              </w:rPr>
              <w:t>2.60 L/s @ 36.04 m · shaft 1.413 kW · motor 2.2 kW · 2-pole 3000 rpm · Duty + standby</w:t>
            </w:r>
          </w:p>
        </w:tc>
      </w:tr>
      <w:tr>
        <w:tc>
          <w:tcPr>
            <w:tcW w:type="dxa" w:w="4680"/>
            <w:shd w:val="clear" w:color="auto" w:fill="EFF9FC"/>
          </w:tcPr>
          <w:p>
            <w:pPr>
              <w:jc w:val="left"/>
            </w:pPr>
            <w:r>
              <w:rPr>
                <w:rFonts w:ascii="Calibri" w:hAnsi="Calibri"/>
                <w:b w:val="0"/>
                <w:i w:val="0"/>
                <w:sz w:val="18"/>
              </w:rPr>
              <w:t>WT01 Domestic water — backwash pump</w:t>
            </w:r>
          </w:p>
        </w:tc>
        <w:tc>
          <w:tcPr>
            <w:tcW w:type="dxa" w:w="4680"/>
            <w:shd w:val="clear" w:color="auto" w:fill="EFF9FC"/>
          </w:tcPr>
          <w:p>
            <w:pPr>
              <w:jc w:val="left"/>
            </w:pPr>
            <w:r>
              <w:rPr>
                <w:rFonts w:ascii="Calibri" w:hAnsi="Calibri"/>
                <w:b/>
                <w:i w:val="0"/>
                <w:color w:val="0B3D91"/>
                <w:sz w:val="18"/>
              </w:rPr>
              <w:t>5.50 L/s @ 12.73 m · shaft 1.055 kW · motor 1.5 kW · 2-pole 3000 rpm · Duty + standby</w:t>
            </w:r>
          </w:p>
        </w:tc>
      </w:tr>
    </w:tbl>
    <w:p/>
    <w:p>
      <w:r>
        <w:rPr>
          <w:rFonts w:ascii="Calibri" w:hAnsi="Calibri"/>
          <w:b/>
          <w:color w:val="0A2540"/>
          <w:sz w:val="22"/>
        </w:rPr>
        <w:t>Provisional values applied</w:t>
      </w:r>
    </w:p>
    <w:p>
      <w:pPr>
        <w:pStyle w:val="ListBullet"/>
      </w:pPr>
      <w:r>
        <w:rPr>
          <w:rFonts w:ascii="Calibri" w:hAnsi="Calibri"/>
          <w:color w:val="374151"/>
          <w:sz w:val="18"/>
        </w:rPr>
        <w:t>The values below have NO primary source in the reference library. They are documented engineering defaults, signed off for use on this project and disclosed here. Supplying the governing document for any of them closes it.</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Ref.</w:t>
            </w:r>
          </w:p>
        </w:tc>
        <w:tc>
          <w:tcPr>
            <w:tcW w:type="dxa" w:w="4680"/>
            <w:shd w:val="clear" w:color="auto" w:fill="0A2540"/>
          </w:tcPr>
          <w:p>
            <w:pPr>
              <w:jc w:val="center"/>
            </w:pPr>
            <w:r>
              <w:rPr>
                <w:rFonts w:ascii="Calibri" w:hAnsi="Calibri"/>
                <w:b/>
                <w:i w:val="0"/>
                <w:color w:val="FFFFFF"/>
                <w:sz w:val="18"/>
              </w:rPr>
              <w:t>Provisional value</w:t>
            </w:r>
          </w:p>
        </w:tc>
      </w:tr>
      <w:tr>
        <w:tc>
          <w:tcPr>
            <w:tcW w:type="dxa" w:w="4680"/>
            <w:shd w:val="clear" w:color="auto" w:fill="EFF9FC"/>
          </w:tcPr>
          <w:p>
            <w:pPr>
              <w:jc w:val="left"/>
            </w:pPr>
            <w:r>
              <w:rPr>
                <w:rFonts w:ascii="Calibri" w:hAnsi="Calibri"/>
                <w:b w:val="0"/>
                <w:i w:val="0"/>
                <w:sz w:val="18"/>
              </w:rPr>
              <w:t>X-01</w:t>
            </w:r>
          </w:p>
        </w:tc>
        <w:tc>
          <w:tcPr>
            <w:tcW w:type="dxa" w:w="4680"/>
            <w:shd w:val="clear" w:color="auto" w:fill="EFF9FC"/>
          </w:tcPr>
          <w:p>
            <w:pPr>
              <w:jc w:val="left"/>
            </w:pPr>
            <w:r>
              <w:rPr>
                <w:rFonts w:ascii="Calibri" w:hAnsi="Calibri"/>
                <w:b/>
                <w:i w:val="0"/>
                <w:color w:val="0B3D91"/>
                <w:sz w:val="18"/>
              </w:rPr>
              <w:t>Softener salt-dose DEFAULT rung (10 lb/ft3 -&gt; 25,000 gr/ft3): engineer choice; the 6/10/15 lb/ft3 pairing itself is printed (ASPE PEDH Vol 4 p205)</w:t>
            </w:r>
          </w:p>
        </w:tc>
      </w:tr>
      <w:tr>
        <w:tc>
          <w:tcPr>
            <w:tcW w:type="dxa" w:w="4680"/>
            <w:shd w:val="clear" w:color="auto" w:fill="FFFFFF"/>
          </w:tcPr>
          <w:p>
            <w:pPr>
              <w:jc w:val="left"/>
            </w:pPr>
            <w:r>
              <w:rPr>
                <w:rFonts w:ascii="Calibri" w:hAnsi="Calibri"/>
                <w:b w:val="0"/>
                <w:i w:val="0"/>
                <w:sz w:val="18"/>
              </w:rPr>
              <w:t>X-03</w:t>
            </w:r>
          </w:p>
        </w:tc>
        <w:tc>
          <w:tcPr>
            <w:tcW w:type="dxa" w:w="4680"/>
            <w:shd w:val="clear" w:color="auto" w:fill="FFFFFF"/>
          </w:tcPr>
          <w:p>
            <w:pPr>
              <w:jc w:val="left"/>
            </w:pPr>
            <w:r>
              <w:rPr>
                <w:rFonts w:ascii="Calibri" w:hAnsi="Calibri"/>
                <w:b/>
                <w:i w:val="0"/>
                <w:color w:val="0B3D91"/>
                <w:sz w:val="18"/>
              </w:rPr>
              <w:t>Brine saturation and salt storage days</w:t>
            </w:r>
          </w:p>
        </w:tc>
      </w:tr>
      <w:tr>
        <w:tc>
          <w:tcPr>
            <w:tcW w:type="dxa" w:w="4680"/>
            <w:shd w:val="clear" w:color="auto" w:fill="EFF9FC"/>
          </w:tcPr>
          <w:p>
            <w:pPr>
              <w:jc w:val="left"/>
            </w:pPr>
            <w:r>
              <w:rPr>
                <w:rFonts w:ascii="Calibri" w:hAnsi="Calibri"/>
                <w:b w:val="0"/>
                <w:i w:val="0"/>
                <w:sz w:val="18"/>
              </w:rPr>
              <w:t>X-09</w:t>
            </w:r>
          </w:p>
        </w:tc>
        <w:tc>
          <w:tcPr>
            <w:tcW w:type="dxa" w:w="4680"/>
            <w:shd w:val="clear" w:color="auto" w:fill="EFF9FC"/>
          </w:tcPr>
          <w:p>
            <w:pPr>
              <w:jc w:val="left"/>
            </w:pPr>
            <w:r>
              <w:rPr>
                <w:rFonts w:ascii="Calibri" w:hAnsi="Calibri"/>
                <w:b/>
                <w:i w:val="0"/>
                <w:color w:val="0B3D91"/>
                <w:sz w:val="18"/>
              </w:rPr>
              <w:t>Pump efficiency, motor efficiency, service factor, head margin</w:t>
            </w:r>
          </w:p>
        </w:tc>
      </w:tr>
      <w:tr>
        <w:tc>
          <w:tcPr>
            <w:tcW w:type="dxa" w:w="4680"/>
            <w:shd w:val="clear" w:color="auto" w:fill="FFFFFF"/>
          </w:tcPr>
          <w:p>
            <w:pPr>
              <w:jc w:val="left"/>
            </w:pPr>
            <w:r>
              <w:rPr>
                <w:rFonts w:ascii="Calibri" w:hAnsi="Calibri"/>
                <w:b w:val="0"/>
                <w:i w:val="0"/>
                <w:sz w:val="18"/>
              </w:rPr>
              <w:t>X-11</w:t>
            </w:r>
          </w:p>
        </w:tc>
        <w:tc>
          <w:tcPr>
            <w:tcW w:type="dxa" w:w="4680"/>
            <w:shd w:val="clear" w:color="auto" w:fill="FFFFFF"/>
          </w:tcPr>
          <w:p>
            <w:pPr>
              <w:jc w:val="left"/>
            </w:pPr>
            <w:r>
              <w:rPr>
                <w:rFonts w:ascii="Calibri" w:hAnsi="Calibri"/>
                <w:b/>
                <w:i w:val="0"/>
                <w:color w:val="0B3D91"/>
                <w:sz w:val="18"/>
              </w:rPr>
              <w:t>Chemical stock concentrations and tank storage days</w:t>
            </w:r>
          </w:p>
        </w:tc>
      </w:tr>
      <w:tr>
        <w:tc>
          <w:tcPr>
            <w:tcW w:type="dxa" w:w="4680"/>
            <w:shd w:val="clear" w:color="auto" w:fill="EFF9FC"/>
          </w:tcPr>
          <w:p>
            <w:pPr>
              <w:jc w:val="left"/>
            </w:pPr>
            <w:r>
              <w:rPr>
                <w:rFonts w:ascii="Calibri" w:hAnsi="Calibri"/>
                <w:b w:val="0"/>
                <w:i w:val="0"/>
                <w:sz w:val="18"/>
              </w:rPr>
              <w:t>X-12</w:t>
            </w:r>
          </w:p>
        </w:tc>
        <w:tc>
          <w:tcPr>
            <w:tcW w:type="dxa" w:w="4680"/>
            <w:shd w:val="clear" w:color="auto" w:fill="EFF9FC"/>
          </w:tcPr>
          <w:p>
            <w:pPr>
              <w:jc w:val="left"/>
            </w:pPr>
            <w:r>
              <w:rPr>
                <w:rFonts w:ascii="Calibri" w:hAnsi="Calibri"/>
                <w:b/>
                <w:i w:val="0"/>
                <w:color w:val="0B3D91"/>
                <w:sz w:val="18"/>
              </w:rPr>
              <w:t>Filter clean pressure drop</w:t>
            </w:r>
          </w:p>
        </w:tc>
      </w:tr>
      <w:tr>
        <w:tc>
          <w:tcPr>
            <w:tcW w:type="dxa" w:w="4680"/>
            <w:shd w:val="clear" w:color="auto" w:fill="FFFFFF"/>
          </w:tcPr>
          <w:p>
            <w:pPr>
              <w:jc w:val="left"/>
            </w:pPr>
            <w:r>
              <w:rPr>
                <w:rFonts w:ascii="Calibri" w:hAnsi="Calibri"/>
                <w:b w:val="0"/>
                <w:i w:val="0"/>
                <w:sz w:val="18"/>
              </w:rPr>
              <w:t>X-13</w:t>
            </w:r>
          </w:p>
        </w:tc>
        <w:tc>
          <w:tcPr>
            <w:tcW w:type="dxa" w:w="4680"/>
            <w:shd w:val="clear" w:color="auto" w:fill="FFFFFF"/>
          </w:tcPr>
          <w:p>
            <w:pPr>
              <w:jc w:val="left"/>
            </w:pPr>
            <w:r>
              <w:rPr>
                <w:rFonts w:ascii="Calibri" w:hAnsi="Calibri"/>
                <w:b/>
                <w:i w:val="0"/>
                <w:color w:val="0B3D91"/>
                <w:sz w:val="18"/>
              </w:rPr>
              <w:t>Standard motor kW ladder (library holds PREVIEW-only IEC 60072-1 / EN 50347)</w:t>
            </w:r>
          </w:p>
        </w:tc>
      </w:tr>
    </w:tbl>
    <w:p/>
    <w:p>
      <w:pPr>
        <w:pStyle w:val="Heading1"/>
        <w:pBdr>
          <w:bottom w:val="single" w:sz="6" w:space="4" w:color="0A2540"/>
        </w:pBdr>
      </w:pPr>
      <w:r>
        <w:rPr>
          <w:rFonts w:ascii="Calibri" w:hAnsi="Calibri"/>
          <w:b/>
          <w:color w:val="0A2540"/>
          <w:sz w:val="26"/>
        </w:rPr>
        <w:t>R.  Reference Standards</w:t>
      </w:r>
    </w:p>
    <w:p>
      <w:pPr>
        <w:pStyle w:val="ListBullet"/>
      </w:pPr>
      <w:r>
        <w:rPr>
          <w:rFonts w:ascii="Calibri" w:hAnsi="Calibri"/>
          <w:b/>
          <w:color w:val="0A2540"/>
          <w:sz w:val="18"/>
        </w:rPr>
        <w:t>ASPE PEDH Vol 4 (2016) Ch.10 'Water Treatment'</w:t>
      </w:r>
      <w:r>
        <w:rPr>
          <w:rFonts w:ascii="Calibri" w:hAnsi="Calibri"/>
          <w:color w:val="374151"/>
          <w:sz w:val="18"/>
        </w:rPr>
        <w:t xml:space="preserve"> — Softener capacity, service rate, bed depth and pressure differential; filter backwash rate, bed expansion and backwash trigger</w:t>
      </w:r>
    </w:p>
    <w:p>
      <w:pPr>
        <w:pStyle w:val="ListBullet"/>
      </w:pPr>
      <w:r>
        <w:rPr>
          <w:rFonts w:ascii="Calibri" w:hAnsi="Calibri"/>
          <w:b/>
          <w:color w:val="0A2540"/>
          <w:sz w:val="18"/>
        </w:rPr>
        <w:t>ASPE PEDH Vol 2 Ch.11 'Water Treatment, Conditioning, and Purification' and Ch.12 'Special Waste Drainage Systems'</w:t>
      </w:r>
      <w:r>
        <w:rPr>
          <w:rFonts w:ascii="Calibri" w:hAnsi="Calibri"/>
          <w:color w:val="374151"/>
          <w:sz w:val="18"/>
        </w:rPr>
        <w:t xml:space="preserve"> — Reverse-osmosis recovery definition and practical minimum; chlorine residual range; UV germicidal band; copper-silver optimum concentration (Ch.6 p121); acid-waste neutralisation to pH 5 or higher before discharge, a pH between 7.5 and 5 before any public sewer, and the dilution / limestone-basin / chemical-feed methods (Ch.12 p267, p271, p272). AAMI/ANSI dialysis water quality (Table 11-13) is listed for reference only -- its limits are NOT checked by this tool</w:t>
      </w:r>
    </w:p>
    <w:p>
      <w:pPr>
        <w:pStyle w:val="ListBullet"/>
      </w:pPr>
      <w:r>
        <w:rPr>
          <w:rFonts w:ascii="Calibri" w:hAnsi="Calibri"/>
          <w:b/>
          <w:color w:val="0A2540"/>
          <w:sz w:val="18"/>
        </w:rPr>
        <w:t>BS EN 60034-1:2010</w:t>
      </w:r>
      <w:r>
        <w:rPr>
          <w:rFonts w:ascii="Calibri" w:hAnsi="Calibri"/>
          <w:color w:val="374151"/>
          <w:sz w:val="18"/>
        </w:rPr>
        <w:t xml:space="preserve"> — Motor rated output (rated shaft power)</w:t>
      </w:r>
    </w:p>
    <w:p>
      <w:pPr>
        <w:pStyle w:val="ListBullet"/>
      </w:pPr>
      <w:r>
        <w:rPr>
          <w:rFonts w:ascii="Calibri" w:hAnsi="Calibri"/>
          <w:b/>
          <w:color w:val="0A2540"/>
          <w:sz w:val="18"/>
        </w:rPr>
        <w:t>ASHRAE Fundamentals 2021 SI, Ch.33 Table 2</w:t>
      </w:r>
      <w:r>
        <w:rPr>
          <w:rFonts w:ascii="Calibri" w:hAnsi="Calibri"/>
          <w:color w:val="374151"/>
          <w:sz w:val="18"/>
        </w:rPr>
        <w:t xml:space="preserve"> — Water density at 20 degC (998.20 kg/m3) for pump power</w:t>
      </w:r>
    </w:p>
    <w:p>
      <w:pPr>
        <w:pStyle w:val="ListBullet"/>
      </w:pPr>
      <w:r>
        <w:rPr>
          <w:rFonts w:ascii="Calibri" w:hAnsi="Calibri"/>
          <w:b/>
          <w:color w:val="0A2540"/>
          <w:sz w:val="18"/>
        </w:rPr>
        <w:t>Media filters -- typical market data (catalogue-derived envelope)</w:t>
      </w:r>
      <w:r>
        <w:rPr>
          <w:rFonts w:ascii="Calibri" w:hAnsi="Calibri"/>
          <w:color w:val="374151"/>
          <w:sz w:val="18"/>
        </w:rPr>
        <w:t xml:space="preserve"> — Multimedia / activated-carbon size ladder; service 20 m/h, backwash 30 m/h. Generic sizes reflecting real market availability -- no vendor selection is implied</w:t>
      </w:r>
    </w:p>
    <w:p>
      <w:pPr>
        <w:pStyle w:val="ListBullet"/>
      </w:pPr>
      <w:r>
        <w:rPr>
          <w:rFonts w:ascii="Calibri" w:hAnsi="Calibri"/>
          <w:b/>
          <w:color w:val="0A2540"/>
          <w:sz w:val="18"/>
        </w:rPr>
        <w:t>Project design narrative (Water Treatment Presentation)</w:t>
      </w:r>
      <w:r>
        <w:rPr>
          <w:rFonts w:ascii="Calibri" w:hAnsi="Calibri"/>
          <w:color w:val="374151"/>
          <w:sz w:val="18"/>
        </w:rPr>
        <w:t xml:space="preserve"> — Treatment train process order and per-application RO duty</w:t>
      </w:r>
    </w:p>
    <w:p>
      <w:r>
        <w:rPr>
          <w:rFonts w:ascii="Calibri" w:hAnsi="Calibri"/>
          <w:i/>
          <w:color w:val="6B7280"/>
          <w:sz w:val="16"/>
        </w:rPr>
        <w:t>Engineer of record: Hussein Ragab</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